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2020年长治市经开区                 政府决算公开情况说明</w:t>
      </w: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一、转移支付执行情况说明</w:t>
      </w:r>
    </w:p>
    <w:p>
      <w:pPr>
        <w:tabs>
          <w:tab w:val="left" w:pos="540"/>
        </w:tabs>
        <w:ind w:right="178" w:rightChars="85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2020年经开区共收到上级补助收入-8632万元，其中：返还性收入0万元，一般性转移支付收入-9278万元，专项转移支付收入646万元。</w:t>
      </w:r>
    </w:p>
    <w:p>
      <w:pPr>
        <w:ind w:firstLine="576" w:firstLineChars="19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一般性转移支付收入中包括：结算补助收入5640万元；固定数额补助收入-15060万元；其他一般性转移支付收入142万元。专项转移支付收入中包括：一般公共服务80万元；资源勘探工业信息等566万元。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二、举借政府债务情况说明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（一）2020年本地区、本级及所属地区地方政府债务限额、余额：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2020年底经开区的政府债务余额为11500万元，其中一般债务1500万元，专项债务10000万元。本年政府债务限额为11500万元，其中一般债务1500万元，专项债务10000万元。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（二）2020年本地区、本级及所属地区地方政府债券发行、还本支出：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2020年收到地方政府债券转贷资金11500万元，其中一般债券资金1500万元，专项债券资金10000万元，我区无权发行地方政府债券。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（三）2020年本地区、本级及所属地区地方政府债券使用安排：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2020年债券资金使用安排情况：2020年债券资金11500万元，其中：新增一般债券1500万元，用于35KV南司线改线工程项目；新增专项债券10000万元，用于经开区高端电气产业园区项目。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三、预算绩效管理工作开展情况说明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我区预算绩效管理工作积极贯彻党的十九大关于“</w:t>
      </w:r>
      <w:r>
        <w:rPr>
          <w:rFonts w:ascii="仿宋" w:hAnsi="仿宋" w:eastAsia="仿宋"/>
          <w:sz w:val="32"/>
        </w:rPr>
        <w:t>建立全面规范透明、标准科学、约束有力的预算制度，全面实施绩效管理</w:t>
      </w:r>
      <w:r>
        <w:rPr>
          <w:rFonts w:hint="eastAsia" w:ascii="仿宋" w:hAnsi="仿宋" w:eastAsia="仿宋"/>
          <w:sz w:val="32"/>
        </w:rPr>
        <w:t>”的精神</w:t>
      </w:r>
      <w:r>
        <w:rPr>
          <w:rFonts w:ascii="仿宋" w:hAnsi="仿宋" w:eastAsia="仿宋"/>
          <w:sz w:val="32"/>
        </w:rPr>
        <w:t>,</w:t>
      </w:r>
      <w:r>
        <w:rPr>
          <w:rFonts w:hint="eastAsia" w:ascii="仿宋" w:hAnsi="仿宋" w:eastAsia="仿宋"/>
          <w:sz w:val="32"/>
        </w:rPr>
        <w:t>按照省市经济财政工作会议要求，稳步推进我区预算绩效管理各项工作，强化结果导向，突出绩效责任约束，着力提高财政资金使用效益，</w:t>
      </w:r>
      <w:r>
        <w:rPr>
          <w:rFonts w:ascii="仿宋" w:hAnsi="仿宋" w:eastAsia="仿宋"/>
          <w:sz w:val="32"/>
        </w:rPr>
        <w:t>主要采取了以下措施：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（一）全面实施预算项目绩效目标管理</w:t>
      </w:r>
      <w:r>
        <w:rPr>
          <w:rFonts w:ascii="仿宋_GB2312" w:hAnsi="华文中宋" w:eastAsia="仿宋_GB2312"/>
          <w:b/>
          <w:bCs/>
          <w:sz w:val="30"/>
          <w:szCs w:val="30"/>
        </w:rPr>
        <w:t>,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压实主体责任</w:t>
      </w:r>
    </w:p>
    <w:p>
      <w:pPr>
        <w:pStyle w:val="5"/>
        <w:spacing w:line="600" w:lineRule="exact"/>
        <w:ind w:firstLine="640"/>
        <w:rPr>
          <w:rFonts w:ascii="仿宋" w:hAnsi="仿宋" w:eastAsia="仿宋" w:cstheme="minorBidi"/>
          <w:sz w:val="32"/>
          <w:szCs w:val="24"/>
        </w:rPr>
      </w:pPr>
      <w:r>
        <w:rPr>
          <w:rFonts w:hint="eastAsia" w:ascii="仿宋" w:hAnsi="仿宋" w:eastAsia="仿宋" w:cstheme="minorBidi"/>
          <w:sz w:val="32"/>
          <w:szCs w:val="24"/>
        </w:rPr>
        <w:t>强化绩效目标的“指挥棒”作用，将绩效目标设置作为预算安排的前置条件。一是实现了绩效目标管理全覆盖，根据“谁申请资金，谁编制目标”的原则，按照市财政局统一要求，在编制年度部门预算时，预算单位按照《预算法》和预算绩效管理相关要求对所有项目支出编制绩效目标，实现了绩效目标管理全覆盖。二是压实预算绩效管理主体责任，压实各部门各单位履行预算绩效管理主体责任，加大绩效目标审核力度，提升绩效目标填报质量，使绩效目标真正成为预算安排的前提和主要依据，坚持做到“预算编制有目标”,没有绩效目标（或不合格）不编列预算。财政部门和预算部门通过绩效目标“五审机制”，层层把关、审核，使绩效目标描述清晰、依据充分，使财政预算安排的项目更加科学合理。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（二）强化绩效跟踪监控，促进绩效目标实现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24"/>
        </w:rPr>
        <w:t>财政局严格落实《长治市关于加强预算绩效运行监控的实施方案》文件要求，继续本着“突出重点、及时适当、有效纠偏”的原则，有序开展绩效运行监控工作。在普遍跟踪的基础上选择部分项目进行重点跟踪监控，通过对项目的运行监控、督促整改，相关绩效目标得以较好实施，并在财政拨付项目资金时，根据整改结果调整预算，用绩效管理手段实现了财政资金的有效监控。</w:t>
      </w:r>
    </w:p>
    <w:p>
      <w:pPr>
        <w:spacing w:line="6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（三）加大绩效评价力度，推动预算绩效管理扩围升级，注重评价结果应用</w:t>
      </w:r>
    </w:p>
    <w:p>
      <w:pPr>
        <w:pStyle w:val="4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绩效评价是预算绩效管理的重要手段。将评价结果向被评价单位和财政部门预算管理科室进行反馈，被评价单位结合评价意见、建议认真整改，财政局部门预算管理科室将评价结果作为预算编制的重要依据，根据评价结果调整预算安排。区财政局及时召开评价结果反馈会，把评价结果反馈给项目单位，督促其认真整改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四、本级一般公共预算“三公”经费增减变化情况说明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2020年，面对复杂的宏观经济形势和我区发展改革的重任，在区委区政府的正确领导下，决算工作顺利开展并圆满完成，其中，三公经费支出情况如下：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2020年一般公共预算“三公”经费年初预算27万元，决算支出7.6万元，其中：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因公出国费用：</w:t>
      </w:r>
      <w:r>
        <w:rPr>
          <w:rFonts w:hint="eastAsia" w:ascii="仿宋" w:hAnsi="仿宋" w:eastAsia="仿宋" w:cs="Times New Roman"/>
          <w:sz w:val="32"/>
          <w:szCs w:val="32"/>
        </w:rPr>
        <w:t>年初预算0万元，决算支出0万元，本年我区未发生该项支出。由于经开区财政局于2019年12月成立，所以与上年无可比数据。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公车购置及运行维护费：</w:t>
      </w:r>
      <w:r>
        <w:rPr>
          <w:rFonts w:hint="eastAsia" w:ascii="仿宋" w:hAnsi="仿宋" w:eastAsia="仿宋" w:cs="Times New Roman"/>
          <w:sz w:val="32"/>
          <w:szCs w:val="32"/>
        </w:rPr>
        <w:t>年初预算6万元，决算支出3.9万元，为预算的65%。其中：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公车购置：</w:t>
      </w:r>
      <w:r>
        <w:rPr>
          <w:rFonts w:hint="eastAsia" w:ascii="仿宋" w:hAnsi="仿宋" w:eastAsia="仿宋" w:cs="Times New Roman"/>
          <w:sz w:val="32"/>
          <w:szCs w:val="32"/>
        </w:rPr>
        <w:t>年初预算0万元，决算支出0万元。由于经开区财政局于2019年12月成立，所以与上年无可比数据。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运行维护费：</w:t>
      </w:r>
      <w:r>
        <w:rPr>
          <w:rFonts w:hint="eastAsia" w:ascii="仿宋" w:hAnsi="仿宋" w:eastAsia="仿宋" w:cs="Times New Roman"/>
          <w:sz w:val="32"/>
          <w:szCs w:val="32"/>
        </w:rPr>
        <w:t>年初预算6万元，决算支出3.9万元，为预算的65%。由于经开区财政局于2019年12月成立，所以与上年无可比数据。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在公车管理及专项治理中，我区严格执行公车管理相关制度，不存在超标配备公车，不存在公车私用，不存在借车、租车等行为。</w:t>
      </w:r>
    </w:p>
    <w:p>
      <w:pPr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公务接待支出：</w:t>
      </w:r>
      <w:r>
        <w:rPr>
          <w:rFonts w:hint="eastAsia" w:ascii="仿宋" w:hAnsi="仿宋" w:eastAsia="仿宋" w:cs="Times New Roman"/>
          <w:sz w:val="32"/>
          <w:szCs w:val="32"/>
        </w:rPr>
        <w:t>年初预算21万元，决算支出3.7万元，为预算的17.6%。由于经开区财政局于2019年12月成立，所以与上年无可比数据。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2020年我区严格依照公务接待管理办法，切实规范接待范围和标准，简化迎接程序，严禁公款大吃大喝、超标准接待等情况的发生，大力压减公务接待支出。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我区将继续严格控制“三公”经费支出，按照上级要求，继续深化部门预算改革，强化制度建设，完善预算分配机制，进一步加强“三公”经费预算编制和执行管理，大力推进建立和完善厉行节约的长效机制。</w:t>
      </w: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 xml:space="preserve">长治经济技术开发区财政局    </w:t>
      </w:r>
    </w:p>
    <w:p>
      <w:pPr>
        <w:ind w:firstLine="64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 xml:space="preserve">                        2021年9月8日</w:t>
      </w: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OGMxNDZkYTNkN2JhNmI5ZTI5NGU1YzA0N2U0NjIifQ=="/>
  </w:docVars>
  <w:rsids>
    <w:rsidRoot w:val="00AC7FB0"/>
    <w:rsid w:val="000050D4"/>
    <w:rsid w:val="00060FB2"/>
    <w:rsid w:val="00082EE2"/>
    <w:rsid w:val="00090B1D"/>
    <w:rsid w:val="00096300"/>
    <w:rsid w:val="00101693"/>
    <w:rsid w:val="00132C43"/>
    <w:rsid w:val="001550A0"/>
    <w:rsid w:val="00161093"/>
    <w:rsid w:val="001618EB"/>
    <w:rsid w:val="00182C36"/>
    <w:rsid w:val="001F0C9F"/>
    <w:rsid w:val="001F3113"/>
    <w:rsid w:val="001F313F"/>
    <w:rsid w:val="002248D2"/>
    <w:rsid w:val="00234832"/>
    <w:rsid w:val="0024624C"/>
    <w:rsid w:val="0024656E"/>
    <w:rsid w:val="00246EA4"/>
    <w:rsid w:val="002677B4"/>
    <w:rsid w:val="00280DCE"/>
    <w:rsid w:val="00293276"/>
    <w:rsid w:val="002A5D5E"/>
    <w:rsid w:val="002E52AB"/>
    <w:rsid w:val="002E6B4D"/>
    <w:rsid w:val="002F22AD"/>
    <w:rsid w:val="00324B07"/>
    <w:rsid w:val="00347527"/>
    <w:rsid w:val="00356964"/>
    <w:rsid w:val="00357D86"/>
    <w:rsid w:val="00367774"/>
    <w:rsid w:val="00390A36"/>
    <w:rsid w:val="003C16D6"/>
    <w:rsid w:val="003D430B"/>
    <w:rsid w:val="003F6C66"/>
    <w:rsid w:val="004128E8"/>
    <w:rsid w:val="0042272F"/>
    <w:rsid w:val="00430CA0"/>
    <w:rsid w:val="004472B4"/>
    <w:rsid w:val="004506A1"/>
    <w:rsid w:val="00481DF2"/>
    <w:rsid w:val="004F0160"/>
    <w:rsid w:val="004F49C1"/>
    <w:rsid w:val="004F5CE2"/>
    <w:rsid w:val="00505FC0"/>
    <w:rsid w:val="00555448"/>
    <w:rsid w:val="00595B9A"/>
    <w:rsid w:val="005B1D4D"/>
    <w:rsid w:val="00601368"/>
    <w:rsid w:val="00611F8F"/>
    <w:rsid w:val="00695A0D"/>
    <w:rsid w:val="006B08A4"/>
    <w:rsid w:val="007318A8"/>
    <w:rsid w:val="00747359"/>
    <w:rsid w:val="007507C2"/>
    <w:rsid w:val="007A46C3"/>
    <w:rsid w:val="007D3717"/>
    <w:rsid w:val="007D7A88"/>
    <w:rsid w:val="007F2F78"/>
    <w:rsid w:val="00804E5C"/>
    <w:rsid w:val="00814563"/>
    <w:rsid w:val="0082544A"/>
    <w:rsid w:val="008409DB"/>
    <w:rsid w:val="00851BF9"/>
    <w:rsid w:val="00882559"/>
    <w:rsid w:val="008B5A77"/>
    <w:rsid w:val="008E5EBA"/>
    <w:rsid w:val="0092007B"/>
    <w:rsid w:val="0092160A"/>
    <w:rsid w:val="00973BA7"/>
    <w:rsid w:val="0097612D"/>
    <w:rsid w:val="00987D9B"/>
    <w:rsid w:val="009D4FED"/>
    <w:rsid w:val="009E4EE3"/>
    <w:rsid w:val="009F52C7"/>
    <w:rsid w:val="00A14E62"/>
    <w:rsid w:val="00A170EA"/>
    <w:rsid w:val="00A311B2"/>
    <w:rsid w:val="00A33395"/>
    <w:rsid w:val="00A65B06"/>
    <w:rsid w:val="00A934DA"/>
    <w:rsid w:val="00A95430"/>
    <w:rsid w:val="00AA55C8"/>
    <w:rsid w:val="00AB13B4"/>
    <w:rsid w:val="00AC0585"/>
    <w:rsid w:val="00AC0F1D"/>
    <w:rsid w:val="00AC7FB0"/>
    <w:rsid w:val="00AE64AA"/>
    <w:rsid w:val="00AF161B"/>
    <w:rsid w:val="00AF5540"/>
    <w:rsid w:val="00B02F70"/>
    <w:rsid w:val="00B07D0B"/>
    <w:rsid w:val="00B17A02"/>
    <w:rsid w:val="00B24E9C"/>
    <w:rsid w:val="00B27CCC"/>
    <w:rsid w:val="00B45C0D"/>
    <w:rsid w:val="00B56F76"/>
    <w:rsid w:val="00B63886"/>
    <w:rsid w:val="00B85745"/>
    <w:rsid w:val="00BA7348"/>
    <w:rsid w:val="00BC7879"/>
    <w:rsid w:val="00BD703F"/>
    <w:rsid w:val="00BF42DC"/>
    <w:rsid w:val="00C20B57"/>
    <w:rsid w:val="00C2761E"/>
    <w:rsid w:val="00C34BE3"/>
    <w:rsid w:val="00C54897"/>
    <w:rsid w:val="00C74B49"/>
    <w:rsid w:val="00C86601"/>
    <w:rsid w:val="00C96AB6"/>
    <w:rsid w:val="00CA2EC6"/>
    <w:rsid w:val="00CB5E1B"/>
    <w:rsid w:val="00CC6BF8"/>
    <w:rsid w:val="00CE1249"/>
    <w:rsid w:val="00CE26B3"/>
    <w:rsid w:val="00CF1C75"/>
    <w:rsid w:val="00D03B7D"/>
    <w:rsid w:val="00D454E2"/>
    <w:rsid w:val="00D67750"/>
    <w:rsid w:val="00D76D86"/>
    <w:rsid w:val="00D8713D"/>
    <w:rsid w:val="00D96016"/>
    <w:rsid w:val="00DD12B4"/>
    <w:rsid w:val="00DD5615"/>
    <w:rsid w:val="00E24655"/>
    <w:rsid w:val="00E32F9F"/>
    <w:rsid w:val="00E56E3F"/>
    <w:rsid w:val="00E673BB"/>
    <w:rsid w:val="00ED3715"/>
    <w:rsid w:val="00F054C1"/>
    <w:rsid w:val="00F06A45"/>
    <w:rsid w:val="00F1120E"/>
    <w:rsid w:val="00F12857"/>
    <w:rsid w:val="00F15DF1"/>
    <w:rsid w:val="00F36866"/>
    <w:rsid w:val="00F62F4C"/>
    <w:rsid w:val="00F64CC8"/>
    <w:rsid w:val="00F828A1"/>
    <w:rsid w:val="00FE0A37"/>
    <w:rsid w:val="2E9F23E8"/>
    <w:rsid w:val="4C4E6100"/>
    <w:rsid w:val="534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Calibri" w:hAnsi="Calibri"/>
      <w:szCs w:val="24"/>
    </w:rPr>
  </w:style>
  <w:style w:type="paragraph" w:styleId="5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正文文本 Char"/>
    <w:basedOn w:val="9"/>
    <w:link w:val="4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纯文本 Char"/>
    <w:basedOn w:val="9"/>
    <w:link w:val="5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7A14-F4B0-4AAD-9B97-A09CFCAAA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1903</Words>
  <Characters>2043</Characters>
  <Lines>14</Lines>
  <Paragraphs>4</Paragraphs>
  <TotalTime>0</TotalTime>
  <ScaleCrop>false</ScaleCrop>
  <LinksUpToDate>false</LinksUpToDate>
  <CharactersWithSpaces>2070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2021-05-23T01:31:00Z</dcterms:created>
  <dc:creator>Windows 用户</dc:creator>
  <cp:lastModifiedBy>匿名</cp:lastModifiedBy>
  <cp:lastPrinted>2021-09-15T02:40:00Z</cp:lastPrinted>
  <dcterms:modified xsi:type="dcterms:W3CDTF">2022-09-14T06:35:48Z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86758E5E4395423393D6AC14A6AFC205</vt:lpwstr>
  </property>
</Properties>
</file>