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  <w:t>长治经济技术开发区</w:t>
      </w: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b w:val="0"/>
          <w:bCs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  <w:t>2021</w:t>
      </w:r>
      <w:r>
        <w:rPr>
          <w:rFonts w:hint="eastAsia" w:ascii="方正小标宋简体" w:hAnsi="方正小标宋简体" w:eastAsia="方正小标宋简体" w:cs="方正小标宋简体"/>
          <w:b w:val="0"/>
          <w:bCs/>
        </w:rPr>
        <w:t>年政府预算公开相关说明</w:t>
      </w:r>
    </w:p>
    <w:p>
      <w:pPr>
        <w:ind w:firstLine="640"/>
        <w:rPr>
          <w:rFonts w:ascii="仿宋" w:hAnsi="仿宋" w:eastAsia="仿宋"/>
          <w:sz w:val="32"/>
          <w:szCs w:val="32"/>
          <w:lang w:val="zh-CN"/>
        </w:rPr>
      </w:pPr>
      <w:r>
        <w:rPr>
          <w:rFonts w:ascii="仿宋" w:hAnsi="仿宋" w:eastAsia="仿宋"/>
          <w:sz w:val="32"/>
          <w:szCs w:val="32"/>
          <w:lang w:val="zh-CN"/>
        </w:rPr>
        <w:t xml:space="preserve"> 根据《财政部关于印发&lt;地方预决算公开操作规程&gt;的通知》（财预〔201</w:t>
      </w:r>
      <w:r>
        <w:rPr>
          <w:rFonts w:hint="eastAsia" w:ascii="仿宋" w:hAnsi="仿宋" w:eastAsia="仿宋"/>
          <w:sz w:val="32"/>
          <w:szCs w:val="32"/>
          <w:lang w:val="zh-CN"/>
        </w:rPr>
        <w:t>6</w:t>
      </w:r>
      <w:r>
        <w:rPr>
          <w:rFonts w:ascii="仿宋" w:hAnsi="仿宋" w:eastAsia="仿宋"/>
          <w:sz w:val="32"/>
          <w:szCs w:val="32"/>
          <w:lang w:val="zh-CN"/>
        </w:rPr>
        <w:t>〕143号）文件精神，为方便社会公众对我</w:t>
      </w:r>
      <w:r>
        <w:rPr>
          <w:rFonts w:hint="eastAsia" w:ascii="仿宋" w:hAnsi="仿宋" w:eastAsia="仿宋"/>
          <w:sz w:val="32"/>
          <w:szCs w:val="32"/>
          <w:lang w:val="zh-CN" w:eastAsia="zh-CN"/>
        </w:rPr>
        <w:t>区</w:t>
      </w:r>
      <w:r>
        <w:rPr>
          <w:rFonts w:ascii="仿宋" w:hAnsi="仿宋" w:eastAsia="仿宋"/>
          <w:sz w:val="32"/>
          <w:szCs w:val="32"/>
          <w:lang w:val="zh-CN"/>
        </w:rPr>
        <w:t>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21</w:t>
      </w:r>
      <w:r>
        <w:rPr>
          <w:rFonts w:ascii="仿宋" w:hAnsi="仿宋" w:eastAsia="仿宋"/>
          <w:sz w:val="32"/>
          <w:szCs w:val="32"/>
          <w:lang w:val="zh-CN"/>
        </w:rPr>
        <w:t>年政府预算的理解和监督，现将有关重要事项说明如下：</w:t>
      </w:r>
    </w:p>
    <w:p>
      <w:pPr>
        <w:numPr>
          <w:ilvl w:val="0"/>
          <w:numId w:val="1"/>
        </w:numPr>
        <w:ind w:left="210" w:leftChars="0" w:firstLine="420" w:firstLineChars="0"/>
        <w:rPr>
          <w:rFonts w:hint="eastAsia" w:ascii="Times New Roman" w:hAnsi="Times New Roman" w:eastAsia="黑体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黑体" w:cs="Times New Roman"/>
          <w:sz w:val="30"/>
          <w:szCs w:val="30"/>
          <w:lang w:val="en-US" w:eastAsia="zh-CN"/>
        </w:rPr>
        <w:t>财政转移支付安排情况说明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  <w:lang w:val="zh-CN"/>
        </w:rPr>
        <w:t>现行财政转移支付分为一般性转移支付和专项转移支付。一般性转移支付和专项转移支付各有特点。前者可以按照相关规定统筹安排和使用，后者能够体现上级政府政策导向，便于监督检查。</w:t>
      </w:r>
    </w:p>
    <w:p>
      <w:pPr>
        <w:ind w:firstLine="640" w:firstLineChars="200"/>
        <w:rPr>
          <w:rFonts w:hint="eastAsia" w:eastAsia="黑体"/>
          <w:sz w:val="32"/>
          <w:szCs w:val="32"/>
        </w:rPr>
      </w:pPr>
      <w:r>
        <w:rPr>
          <w:rFonts w:ascii="仿宋" w:hAnsi="仿宋" w:eastAsia="仿宋"/>
          <w:sz w:val="32"/>
          <w:szCs w:val="32"/>
          <w:lang w:val="zh-CN"/>
        </w:rPr>
        <w:t>一般性转移支付主要</w:t>
      </w:r>
      <w:r>
        <w:rPr>
          <w:rFonts w:hint="eastAsia" w:ascii="仿宋" w:hAnsi="仿宋" w:eastAsia="仿宋"/>
          <w:sz w:val="32"/>
          <w:szCs w:val="32"/>
          <w:lang w:val="zh-CN"/>
        </w:rPr>
        <w:t>为</w:t>
      </w:r>
      <w:r>
        <w:rPr>
          <w:rFonts w:ascii="仿宋" w:hAnsi="仿宋" w:eastAsia="仿宋"/>
          <w:sz w:val="32"/>
          <w:szCs w:val="32"/>
          <w:lang w:val="zh-CN"/>
        </w:rPr>
        <w:t>固定数额补助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。</w:t>
      </w:r>
      <w:r>
        <w:rPr>
          <w:rFonts w:ascii="仿宋" w:hAnsi="仿宋" w:eastAsia="仿宋"/>
          <w:sz w:val="32"/>
          <w:szCs w:val="32"/>
          <w:lang w:val="zh-CN"/>
        </w:rPr>
        <w:t>专项转移支付主要是根据党中央、国务院和省委、省政府确定的政策，按照集中资金、突出重点、专款专用的要求，重点用于农林水、教育、医疗卫生、社会保障和就业、交通运输、节能环保等领域</w:t>
      </w:r>
      <w:r>
        <w:rPr>
          <w:rFonts w:hint="eastAsia" w:ascii="仿宋" w:hAnsi="仿宋" w:eastAsia="仿宋"/>
          <w:sz w:val="32"/>
          <w:szCs w:val="32"/>
          <w:lang w:val="zh-CN"/>
        </w:rPr>
        <w:t>。</w:t>
      </w:r>
    </w:p>
    <w:p>
      <w:pPr>
        <w:tabs>
          <w:tab w:val="left" w:pos="540"/>
        </w:tabs>
        <w:ind w:right="178" w:rightChars="85"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2021年上级对我区下达转移支付资金共计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-15060</w:t>
      </w:r>
      <w:r>
        <w:rPr>
          <w:rFonts w:hint="eastAsia" w:ascii="仿宋" w:hAnsi="仿宋" w:eastAsia="仿宋"/>
          <w:sz w:val="32"/>
          <w:szCs w:val="32"/>
        </w:rPr>
        <w:t>万元，其中：一般性转移支付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-15060</w:t>
      </w:r>
      <w:r>
        <w:rPr>
          <w:rFonts w:hint="eastAsia" w:ascii="仿宋" w:hAnsi="仿宋" w:eastAsia="仿宋"/>
          <w:sz w:val="32"/>
          <w:szCs w:val="32"/>
        </w:rPr>
        <w:t>万元，专项转移支付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万元。</w:t>
      </w:r>
    </w:p>
    <w:p>
      <w:pPr>
        <w:numPr>
          <w:ilvl w:val="0"/>
          <w:numId w:val="1"/>
        </w:numPr>
        <w:ind w:left="210" w:leftChars="0" w:firstLine="420" w:firstLineChars="0"/>
        <w:rPr>
          <w:rFonts w:hint="eastAsia" w:ascii="Times New Roman" w:hAnsi="Times New Roman" w:eastAsia="黑体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黑体" w:cs="Times New Roman"/>
          <w:sz w:val="30"/>
          <w:szCs w:val="30"/>
          <w:lang w:val="en-US" w:eastAsia="zh-CN"/>
        </w:rPr>
        <w:t>一般公共预算“三公”经费安排情况说明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经开区</w:t>
      </w:r>
      <w:r>
        <w:rPr>
          <w:rFonts w:hint="eastAsia" w:ascii="仿宋" w:hAnsi="仿宋" w:eastAsia="仿宋"/>
          <w:sz w:val="32"/>
          <w:szCs w:val="32"/>
        </w:rPr>
        <w:t>“三公”经费预算数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/>
          <w:sz w:val="32"/>
          <w:szCs w:val="32"/>
        </w:rPr>
        <w:t>万元。其中公务接待费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/>
          <w:sz w:val="32"/>
          <w:szCs w:val="32"/>
        </w:rPr>
        <w:t>万元</w:t>
      </w:r>
      <w:r>
        <w:rPr>
          <w:rFonts w:hint="eastAsia" w:ascii="仿宋" w:hAnsi="仿宋" w:eastAsia="仿宋"/>
          <w:sz w:val="32"/>
          <w:szCs w:val="32"/>
          <w:lang w:eastAsia="zh-CN"/>
        </w:rPr>
        <w:t>（用于机关接待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1万元，招商引资接待20万元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；公务用车运行维护费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万元</w:t>
      </w:r>
      <w:r>
        <w:rPr>
          <w:rFonts w:hint="eastAsia" w:ascii="仿宋" w:hAnsi="仿宋" w:eastAsia="仿宋"/>
          <w:sz w:val="32"/>
          <w:szCs w:val="32"/>
          <w:lang w:eastAsia="zh-CN"/>
        </w:rPr>
        <w:t>（公车共有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2辆，1辆车每年预算运行费2万元</w:t>
      </w:r>
      <w:r>
        <w:rPr>
          <w:rFonts w:hint="eastAsia" w:ascii="仿宋" w:hAnsi="仿宋" w:eastAsia="仿宋"/>
          <w:sz w:val="32"/>
          <w:szCs w:val="32"/>
          <w:lang w:eastAsia="zh-CN"/>
        </w:rPr>
        <w:t>）。</w:t>
      </w:r>
    </w:p>
    <w:p>
      <w:pPr>
        <w:numPr>
          <w:ilvl w:val="0"/>
          <w:numId w:val="1"/>
        </w:numPr>
        <w:ind w:left="210" w:leftChars="0" w:firstLine="420" w:firstLineChars="0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t>举借债务情况说明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</w:rPr>
        <w:t>我</w:t>
      </w:r>
      <w:r>
        <w:rPr>
          <w:rFonts w:hint="eastAsia" w:ascii="仿宋" w:hAnsi="仿宋" w:eastAsia="仿宋"/>
          <w:sz w:val="32"/>
        </w:rPr>
        <w:t>区</w:t>
      </w:r>
      <w:r>
        <w:rPr>
          <w:rFonts w:ascii="仿宋" w:hAnsi="仿宋" w:eastAsia="仿宋"/>
          <w:sz w:val="32"/>
          <w:szCs w:val="32"/>
        </w:rPr>
        <w:t>按照</w:t>
      </w:r>
      <w:r>
        <w:rPr>
          <w:rFonts w:hint="eastAsia" w:ascii="仿宋" w:hAnsi="仿宋" w:eastAsia="仿宋"/>
          <w:sz w:val="32"/>
          <w:szCs w:val="32"/>
        </w:rPr>
        <w:t>上级部门</w:t>
      </w:r>
      <w:r>
        <w:rPr>
          <w:rFonts w:ascii="仿宋" w:hAnsi="仿宋" w:eastAsia="仿宋"/>
          <w:sz w:val="32"/>
          <w:szCs w:val="32"/>
        </w:rPr>
        <w:t>打好防范化解重大风险攻坚战的安排部署，切实采取有效措施，坚决防范和化解政府债务风险</w:t>
      </w:r>
      <w:r>
        <w:rPr>
          <w:rFonts w:hint="eastAsia" w:ascii="仿宋" w:hAnsi="仿宋" w:eastAsia="仿宋"/>
          <w:sz w:val="32"/>
          <w:szCs w:val="32"/>
        </w:rPr>
        <w:t>，确保实现“</w:t>
      </w:r>
      <w:r>
        <w:rPr>
          <w:rFonts w:ascii="仿宋" w:hAnsi="仿宋" w:eastAsia="仿宋"/>
          <w:sz w:val="32"/>
          <w:szCs w:val="32"/>
        </w:rPr>
        <w:t>不发生区域性系统性风险</w:t>
      </w:r>
      <w:r>
        <w:rPr>
          <w:rFonts w:hint="eastAsia" w:ascii="仿宋" w:hAnsi="仿宋" w:eastAsia="仿宋"/>
          <w:sz w:val="32"/>
          <w:szCs w:val="32"/>
        </w:rPr>
        <w:t>”的目标，</w:t>
      </w:r>
      <w:r>
        <w:rPr>
          <w:rFonts w:hint="eastAsia" w:ascii="仿宋" w:hAnsi="仿宋" w:eastAsia="仿宋" w:cs="仿宋_GB2312"/>
          <w:sz w:val="32"/>
          <w:szCs w:val="32"/>
        </w:rPr>
        <w:t>进一步</w:t>
      </w:r>
      <w:r>
        <w:rPr>
          <w:rFonts w:hint="eastAsia" w:ascii="仿宋" w:hAnsi="仿宋" w:eastAsia="仿宋"/>
          <w:sz w:val="32"/>
        </w:rPr>
        <w:t>加强政府债务风险防控，做到举债合规、程序透明、规模适度、风险可控。现就我区2021年</w:t>
      </w:r>
      <w:r>
        <w:rPr>
          <w:rFonts w:ascii="仿宋" w:hAnsi="仿宋" w:eastAsia="仿宋"/>
          <w:sz w:val="32"/>
          <w:szCs w:val="32"/>
        </w:rPr>
        <w:t>举借债务情况</w:t>
      </w:r>
      <w:r>
        <w:rPr>
          <w:rFonts w:hint="eastAsia" w:ascii="仿宋" w:hAnsi="仿宋" w:eastAsia="仿宋"/>
          <w:sz w:val="32"/>
          <w:szCs w:val="32"/>
        </w:rPr>
        <w:t>说明如下：</w:t>
      </w:r>
    </w:p>
    <w:p>
      <w:pPr>
        <w:numPr>
          <w:ilvl w:val="0"/>
          <w:numId w:val="0"/>
        </w:numPr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  <w:lang w:val="zh-CN"/>
        </w:rPr>
        <w:t>我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区</w:t>
      </w:r>
      <w:r>
        <w:rPr>
          <w:rFonts w:ascii="Times New Roman" w:hAnsi="Times New Roman" w:eastAsia="仿宋_GB2312" w:cs="Times New Roman"/>
          <w:sz w:val="30"/>
          <w:szCs w:val="30"/>
          <w:lang w:val="zh-CN"/>
        </w:rPr>
        <w:t>加强政府债务管理采取的主要措施包括：</w:t>
      </w:r>
    </w:p>
    <w:p>
      <w:pPr>
        <w:ind w:firstLine="645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（一）</w:t>
      </w:r>
      <w:r>
        <w:rPr>
          <w:rFonts w:ascii="Times New Roman" w:hAnsi="Times New Roman" w:eastAsia="仿宋_GB2312" w:cs="Times New Roman"/>
          <w:sz w:val="30"/>
          <w:szCs w:val="30"/>
        </w:rPr>
        <w:t>为加强和规范政府性债务管理，防范政府债务风险，促进全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区</w:t>
      </w:r>
      <w:r>
        <w:rPr>
          <w:rFonts w:ascii="Times New Roman" w:hAnsi="Times New Roman" w:eastAsia="仿宋_GB2312" w:cs="Times New Roman"/>
          <w:sz w:val="30"/>
          <w:szCs w:val="30"/>
        </w:rPr>
        <w:t>经济社会持续健康发展，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根据</w:t>
      </w:r>
      <w:r>
        <w:rPr>
          <w:rFonts w:ascii="Times New Roman" w:hAnsi="Times New Roman" w:eastAsia="仿宋_GB2312" w:cs="Times New Roman"/>
          <w:sz w:val="30"/>
          <w:szCs w:val="30"/>
        </w:rPr>
        <w:t>《长治市人民政府关于加强地方政府性债务管理的实施意见》（长政发〔2017〕9号）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文件精神</w:t>
      </w:r>
      <w:r>
        <w:rPr>
          <w:rFonts w:ascii="Times New Roman" w:hAnsi="Times New Roman" w:eastAsia="仿宋_GB2312" w:cs="Times New Roman"/>
          <w:sz w:val="30"/>
          <w:szCs w:val="30"/>
        </w:rPr>
        <w:t>，并结合我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区</w:t>
      </w:r>
      <w:r>
        <w:rPr>
          <w:rFonts w:ascii="Times New Roman" w:hAnsi="Times New Roman" w:eastAsia="仿宋_GB2312" w:cs="Times New Roman"/>
          <w:sz w:val="30"/>
          <w:szCs w:val="30"/>
        </w:rPr>
        <w:t>实际，从规范政府举债融资机制、债务资金举借、债务资金使用、债务资金偿还、存量债务化解、债务信息统计报告、债务风险预警和应急处置、监督与管理、责任追究等九个方面，对我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区</w:t>
      </w:r>
      <w:r>
        <w:rPr>
          <w:rFonts w:ascii="Times New Roman" w:hAnsi="Times New Roman" w:eastAsia="仿宋_GB2312" w:cs="Times New Roman"/>
          <w:sz w:val="30"/>
          <w:szCs w:val="30"/>
        </w:rPr>
        <w:t>地方政府性债务管理进行了规范。</w:t>
      </w:r>
    </w:p>
    <w:p>
      <w:pPr>
        <w:ind w:firstLine="640" w:firstLineChars="200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>（二）为确保不发生区域性系统性风险，根据《山西省政府性债务风险应急处置预案》（晋政办发〔2017〕99号）有关要求，长政办发〔2017〕176号）</w:t>
      </w:r>
      <w:r>
        <w:rPr>
          <w:rFonts w:hint="eastAsia" w:ascii="仿宋" w:hAnsi="仿宋" w:eastAsia="仿宋"/>
          <w:sz w:val="32"/>
          <w:lang w:eastAsia="zh-CN"/>
        </w:rPr>
        <w:t>文件精神</w:t>
      </w:r>
      <w:r>
        <w:rPr>
          <w:rFonts w:ascii="仿宋" w:hAnsi="仿宋" w:eastAsia="仿宋"/>
          <w:sz w:val="32"/>
        </w:rPr>
        <w:t>，初步构建</w:t>
      </w:r>
      <w:r>
        <w:rPr>
          <w:rFonts w:hint="eastAsia" w:ascii="仿宋" w:hAnsi="仿宋" w:eastAsia="仿宋"/>
          <w:sz w:val="32"/>
          <w:lang w:eastAsia="zh-CN"/>
        </w:rPr>
        <w:t>和完善</w:t>
      </w:r>
      <w:r>
        <w:rPr>
          <w:rFonts w:ascii="仿宋" w:hAnsi="仿宋" w:eastAsia="仿宋"/>
          <w:sz w:val="32"/>
        </w:rPr>
        <w:t>政府性债务风险防控和应急处置机制。</w:t>
      </w:r>
    </w:p>
    <w:p>
      <w:pPr>
        <w:ind w:firstLine="640" w:firstLineChars="200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>（</w:t>
      </w:r>
      <w:r>
        <w:rPr>
          <w:rFonts w:hint="eastAsia" w:ascii="仿宋" w:hAnsi="仿宋" w:eastAsia="仿宋"/>
          <w:sz w:val="32"/>
          <w:lang w:eastAsia="zh-CN"/>
        </w:rPr>
        <w:t>三</w:t>
      </w:r>
      <w:r>
        <w:rPr>
          <w:rFonts w:ascii="仿宋" w:hAnsi="仿宋" w:eastAsia="仿宋"/>
          <w:sz w:val="32"/>
        </w:rPr>
        <w:t>）制定中长期政府债务化解方案。针对政府债务风险评估结果和出现的风险状况，我</w:t>
      </w:r>
      <w:r>
        <w:rPr>
          <w:rFonts w:hint="eastAsia" w:ascii="仿宋" w:hAnsi="仿宋" w:eastAsia="仿宋"/>
          <w:sz w:val="32"/>
          <w:lang w:val="en-US" w:eastAsia="zh-CN"/>
        </w:rPr>
        <w:t>区</w:t>
      </w:r>
      <w:r>
        <w:rPr>
          <w:rFonts w:ascii="仿宋" w:hAnsi="仿宋" w:eastAsia="仿宋"/>
          <w:sz w:val="32"/>
        </w:rPr>
        <w:t>制定了相应的政府债务化解方案，提出了明确的化解目标和化解措施。</w:t>
      </w:r>
    </w:p>
    <w:p>
      <w:pPr>
        <w:numPr>
          <w:ilvl w:val="0"/>
          <w:numId w:val="1"/>
        </w:numPr>
        <w:ind w:left="210" w:leftChars="0" w:firstLine="420" w:firstLineChars="0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t>预算绩效开展情况说明</w:t>
      </w:r>
    </w:p>
    <w:p>
      <w:pPr>
        <w:spacing w:line="600" w:lineRule="exact"/>
        <w:rPr>
          <w:rFonts w:ascii="仿宋" w:hAnsi="仿宋" w:eastAsia="仿宋"/>
          <w:sz w:val="32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 xml:space="preserve">    </w:t>
      </w:r>
      <w:r>
        <w:rPr>
          <w:rFonts w:hint="eastAsia" w:ascii="仿宋" w:hAnsi="仿宋" w:eastAsia="仿宋"/>
          <w:sz w:val="32"/>
        </w:rPr>
        <w:t>我</w:t>
      </w:r>
      <w:r>
        <w:rPr>
          <w:rFonts w:hint="eastAsia" w:ascii="仿宋" w:hAnsi="仿宋" w:eastAsia="仿宋"/>
          <w:sz w:val="32"/>
          <w:lang w:val="en-US" w:eastAsia="zh-CN"/>
        </w:rPr>
        <w:t>区</w:t>
      </w:r>
      <w:r>
        <w:rPr>
          <w:rFonts w:hint="eastAsia" w:ascii="仿宋" w:hAnsi="仿宋" w:eastAsia="仿宋"/>
          <w:sz w:val="32"/>
        </w:rPr>
        <w:t>预算绩效管理工作积极贯彻党的十九大关于“</w:t>
      </w:r>
      <w:r>
        <w:rPr>
          <w:rFonts w:ascii="仿宋" w:hAnsi="仿宋" w:eastAsia="仿宋"/>
          <w:sz w:val="32"/>
        </w:rPr>
        <w:t>建立全面规范透明、标准科学、约束有力的预算制度，全面实施绩效管理</w:t>
      </w:r>
      <w:r>
        <w:rPr>
          <w:rFonts w:hint="eastAsia" w:ascii="仿宋" w:hAnsi="仿宋" w:eastAsia="仿宋"/>
          <w:sz w:val="32"/>
        </w:rPr>
        <w:t>”的精神</w:t>
      </w:r>
      <w:r>
        <w:rPr>
          <w:rFonts w:ascii="仿宋" w:hAnsi="仿宋" w:eastAsia="仿宋"/>
          <w:sz w:val="32"/>
        </w:rPr>
        <w:t>,</w:t>
      </w:r>
      <w:r>
        <w:rPr>
          <w:rFonts w:hint="eastAsia" w:ascii="仿宋" w:hAnsi="仿宋" w:eastAsia="仿宋"/>
          <w:sz w:val="32"/>
        </w:rPr>
        <w:t>按照省市经济财政工作会议要求，稳步推进我</w:t>
      </w:r>
      <w:r>
        <w:rPr>
          <w:rFonts w:hint="eastAsia" w:ascii="仿宋" w:hAnsi="仿宋" w:eastAsia="仿宋"/>
          <w:sz w:val="32"/>
          <w:lang w:val="en-US" w:eastAsia="zh-CN"/>
        </w:rPr>
        <w:t>区</w:t>
      </w:r>
      <w:r>
        <w:rPr>
          <w:rFonts w:hint="eastAsia" w:ascii="仿宋" w:hAnsi="仿宋" w:eastAsia="仿宋"/>
          <w:sz w:val="32"/>
        </w:rPr>
        <w:t>预算绩效管理各项工作，强化结果导向，突出绩效责任约束，着力提高财政资金使用效益，</w:t>
      </w:r>
      <w:r>
        <w:rPr>
          <w:rFonts w:ascii="仿宋" w:hAnsi="仿宋" w:eastAsia="仿宋"/>
          <w:sz w:val="32"/>
        </w:rPr>
        <w:t>主要采取了以下措施：</w:t>
      </w:r>
    </w:p>
    <w:p>
      <w:pPr>
        <w:spacing w:line="600" w:lineRule="exact"/>
        <w:rPr>
          <w:rFonts w:ascii="仿宋_GB2312" w:hAnsi="华文中宋" w:eastAsia="仿宋_GB2312"/>
          <w:b/>
          <w:bCs/>
          <w:sz w:val="30"/>
          <w:szCs w:val="30"/>
        </w:rPr>
      </w:pPr>
      <w:r>
        <w:rPr>
          <w:rFonts w:hint="eastAsia" w:ascii="仿宋_GB2312" w:hAnsi="华文中宋" w:eastAsia="仿宋_GB2312"/>
          <w:b/>
          <w:bCs/>
          <w:sz w:val="30"/>
          <w:szCs w:val="30"/>
        </w:rPr>
        <w:t xml:space="preserve">   （一）全面实施预算项目绩效目标管理</w:t>
      </w:r>
      <w:r>
        <w:rPr>
          <w:rFonts w:ascii="仿宋_GB2312" w:hAnsi="华文中宋" w:eastAsia="仿宋_GB2312"/>
          <w:b/>
          <w:bCs/>
          <w:sz w:val="30"/>
          <w:szCs w:val="30"/>
        </w:rPr>
        <w:t>,</w:t>
      </w:r>
      <w:r>
        <w:rPr>
          <w:rFonts w:hint="eastAsia" w:ascii="仿宋_GB2312" w:hAnsi="华文中宋" w:eastAsia="仿宋_GB2312"/>
          <w:b/>
          <w:bCs/>
          <w:sz w:val="30"/>
          <w:szCs w:val="30"/>
        </w:rPr>
        <w:t>压实主体责任</w:t>
      </w:r>
    </w:p>
    <w:p>
      <w:pPr>
        <w:pStyle w:val="6"/>
        <w:spacing w:line="600" w:lineRule="exact"/>
        <w:ind w:firstLine="640"/>
        <w:rPr>
          <w:rFonts w:hint="eastAsia" w:ascii="仿宋" w:hAnsi="仿宋" w:eastAsia="仿宋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24"/>
          <w:lang w:val="en-US" w:eastAsia="zh-CN" w:bidi="ar-SA"/>
        </w:rPr>
        <w:t>强化绩效目标的“指挥棒”作用，将绩效目标设置作为预算安排的前置条件。一是实现了绩效目标管理全覆盖，根据“谁申请资金，谁编制目标”的原则，按照市财政局统一要求，在编制年度部门预算时，预算单位按照《预算法》和预算绩效管理相关要求对所有项目支出编制绩效目标，实现了绩效目标管理全覆盖。二是压实预算绩效管理主体责任，压实各部门各单位履行预算绩效管理主体责任，加大绩效目标审核力度，提升绩效目标填报质量，使绩效目标真正成为预算安排的前提和主要依据，坚持做到“预算编制有目标”,没有绩效目标（或不合格）不编列预算。财政部门和预算部门通过绩效目标“五审机制”，层层把关、审核，使绩效目标描述清晰、依据充分，使财政预算安排的项目更加科学合理。</w:t>
      </w:r>
    </w:p>
    <w:p>
      <w:pPr>
        <w:spacing w:line="600" w:lineRule="exact"/>
        <w:rPr>
          <w:rFonts w:ascii="仿宋_GB2312" w:hAnsi="华文中宋" w:eastAsia="仿宋_GB2312"/>
          <w:b/>
          <w:bCs/>
          <w:sz w:val="30"/>
          <w:szCs w:val="30"/>
        </w:rPr>
      </w:pPr>
      <w:r>
        <w:rPr>
          <w:rFonts w:hint="eastAsia" w:ascii="仿宋_GB2312" w:hAnsi="华文中宋" w:eastAsia="仿宋_GB2312"/>
          <w:b/>
          <w:bCs/>
          <w:sz w:val="30"/>
          <w:szCs w:val="30"/>
        </w:rPr>
        <w:t xml:space="preserve">   （二）强化绩效跟踪监控，促进绩效目标实现</w:t>
      </w:r>
    </w:p>
    <w:p>
      <w:pPr>
        <w:spacing w:line="600" w:lineRule="exact"/>
        <w:ind w:firstLine="640" w:firstLineChars="200"/>
        <w:rPr>
          <w:rFonts w:hint="eastAsia" w:ascii="仿宋" w:hAnsi="仿宋" w:eastAsia="仿宋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24"/>
          <w:lang w:val="en-US" w:eastAsia="zh-CN" w:bidi="ar-SA"/>
        </w:rPr>
        <w:t>财政局严格落实《长治市关于加强预算绩效运行监控的实施方案》文件要求，继续本着“突出重点、及时适当、有效纠偏”的原则，有序开展绩效运行监控工作。在普遍跟踪的基础上选择部分项目进行重点跟踪监控，通过对项目的运行监控、督促整改，相关绩效目标得以较好实施，并在财政拨付项目资金时，根据整改结果调整预算，用绩效管理手段实现了财政资金的有效监控。</w:t>
      </w:r>
    </w:p>
    <w:p>
      <w:pPr>
        <w:spacing w:line="600" w:lineRule="exact"/>
        <w:rPr>
          <w:rFonts w:ascii="楷体" w:hAnsi="楷体" w:eastAsia="楷体" w:cs="楷体"/>
          <w:b/>
          <w:bCs/>
          <w:sz w:val="30"/>
          <w:szCs w:val="30"/>
        </w:rPr>
      </w:pPr>
      <w:r>
        <w:rPr>
          <w:rFonts w:hint="eastAsia" w:ascii="仿宋_GB2312" w:hAnsi="华文中宋" w:eastAsia="仿宋_GB2312"/>
          <w:b/>
          <w:bCs/>
          <w:sz w:val="30"/>
          <w:szCs w:val="30"/>
        </w:rPr>
        <w:t xml:space="preserve">   （三）加大绩效评价力度，推动预算绩效管理扩围升级，注重评价结果应用</w:t>
      </w:r>
    </w:p>
    <w:p>
      <w:pPr>
        <w:pStyle w:val="4"/>
        <w:adjustRightInd w:val="0"/>
        <w:spacing w:line="600" w:lineRule="exact"/>
        <w:ind w:firstLine="640" w:firstLineChars="200"/>
        <w:rPr>
          <w:rFonts w:hint="eastAsia" w:ascii="仿宋" w:hAnsi="仿宋" w:eastAsia="仿宋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24"/>
          <w:lang w:val="en-US" w:eastAsia="zh-CN" w:bidi="ar-SA"/>
        </w:rPr>
        <w:t>绩效评价是预算绩效管理的重要手段。将评价结果向被评价单位和财政部门预算管理科室进行反馈，被评价单位结合评价意见、建议认真整改，财政局部门预算管理科室将评价结果作为预算编制的重要依据，根据评价结果调整预算安排。区财政局及时召开评价结果反馈会，把评价结果反馈给项目单位，督促其认真整改，并积极与2021年度部门预算编制工作有机衔接，使评价结果得到有效利用。</w:t>
      </w:r>
    </w:p>
    <w:p>
      <w:pPr>
        <w:numPr>
          <w:ilvl w:val="0"/>
          <w:numId w:val="1"/>
        </w:numPr>
        <w:spacing w:line="600" w:lineRule="exact"/>
        <w:ind w:left="210" w:leftChars="0" w:firstLine="420" w:firstLineChars="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地方政府债券情况说明</w:t>
      </w:r>
    </w:p>
    <w:p>
      <w:pPr>
        <w:ind w:firstLine="640"/>
        <w:rPr>
          <w:rFonts w:hint="eastAsia" w:ascii="仿宋" w:hAnsi="仿宋" w:eastAsia="仿宋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24"/>
          <w:lang w:val="en-US" w:eastAsia="zh-CN" w:bidi="ar-SA"/>
        </w:rPr>
        <w:t>2021年预算没有地方政府债券资金。</w:t>
      </w:r>
    </w:p>
    <w:p>
      <w:pPr>
        <w:numPr>
          <w:ilvl w:val="0"/>
          <w:numId w:val="1"/>
        </w:numPr>
        <w:ind w:left="210" w:leftChars="0" w:firstLine="420" w:firstLineChars="0"/>
        <w:rPr>
          <w:rFonts w:ascii="Times New Roman" w:hAnsi="Times New Roman" w:eastAsia="仿宋_GB2312" w:cs="Times New Roman"/>
          <w:sz w:val="30"/>
          <w:szCs w:val="30"/>
          <w:lang w:val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财政扶贫资金情况说明</w:t>
      </w:r>
      <w:r>
        <w:rPr>
          <w:rFonts w:ascii="Times New Roman" w:hAnsi="Times New Roman" w:eastAsia="仿宋_GB2312" w:cs="Times New Roman"/>
          <w:sz w:val="30"/>
          <w:szCs w:val="30"/>
          <w:lang w:val="zh-CN"/>
        </w:rPr>
        <w:t xml:space="preserve"> </w:t>
      </w:r>
    </w:p>
    <w:p>
      <w:pPr>
        <w:ind w:firstLine="64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theme="minorBidi"/>
          <w:kern w:val="2"/>
          <w:sz w:val="32"/>
          <w:szCs w:val="24"/>
          <w:lang w:val="en-US" w:eastAsia="zh-CN" w:bidi="ar-SA"/>
        </w:rPr>
        <w:t>2021年预算没有扶贫资金。</w:t>
      </w:r>
    </w:p>
    <w:p>
      <w:pPr>
        <w:ind w:firstLine="640"/>
        <w:rPr>
          <w:rFonts w:hint="eastAsia" w:ascii="仿宋" w:hAnsi="仿宋" w:eastAsia="仿宋" w:cstheme="minorBidi"/>
          <w:kern w:val="2"/>
          <w:sz w:val="32"/>
          <w:szCs w:val="24"/>
          <w:lang w:val="en-US" w:eastAsia="zh-CN" w:bidi="ar-SA"/>
        </w:rPr>
      </w:pPr>
      <w:bookmarkStart w:id="0" w:name="_GoBack"/>
      <w:bookmarkEnd w:id="0"/>
    </w:p>
    <w:p>
      <w:pPr>
        <w:ind w:firstLine="4480" w:firstLineChars="1400"/>
        <w:rPr>
          <w:rFonts w:hint="eastAsia" w:ascii="仿宋" w:hAnsi="仿宋" w:eastAsia="仿宋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24"/>
          <w:lang w:val="en-US" w:eastAsia="zh-CN" w:bidi="ar-SA"/>
        </w:rPr>
        <w:t>长治经济技术开发区财政局</w:t>
      </w:r>
    </w:p>
    <w:p>
      <w:pPr>
        <w:ind w:firstLine="640"/>
        <w:rPr>
          <w:rFonts w:hint="eastAsia" w:ascii="仿宋" w:hAnsi="仿宋" w:eastAsia="仿宋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24"/>
          <w:lang w:val="en-US" w:eastAsia="zh-CN" w:bidi="ar-SA"/>
        </w:rPr>
        <w:t xml:space="preserve">                             2021年4月17日</w:t>
      </w: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9161007"/>
      <w:docPartObj>
        <w:docPartGallery w:val="autotext"/>
      </w:docPartObj>
    </w:sdtPr>
    <w:sdtContent>
      <w:p>
        <w:pPr>
          <w:pStyle w:val="8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13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DF1D6D"/>
    <w:multiLevelType w:val="singleLevel"/>
    <w:tmpl w:val="58DF1D6D"/>
    <w:lvl w:ilvl="0" w:tentative="0">
      <w:start w:val="1"/>
      <w:numFmt w:val="chineseCounting"/>
      <w:suff w:val="nothing"/>
      <w:lvlText w:val="%1、"/>
      <w:lvlJc w:val="left"/>
      <w:pPr>
        <w:ind w:left="210"/>
      </w:pPr>
      <w:rPr>
        <w:rFonts w:hint="eastAsia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1OGMxNDZkYTNkN2JhNmI5ZTI5NGU1YzA0N2U0NjIifQ=="/>
  </w:docVars>
  <w:rsids>
    <w:rsidRoot w:val="56DC3F96"/>
    <w:rsid w:val="000D17EA"/>
    <w:rsid w:val="00111450"/>
    <w:rsid w:val="00117E3D"/>
    <w:rsid w:val="001A667C"/>
    <w:rsid w:val="001C3AF7"/>
    <w:rsid w:val="002C5F73"/>
    <w:rsid w:val="0031158F"/>
    <w:rsid w:val="0031529C"/>
    <w:rsid w:val="003522A2"/>
    <w:rsid w:val="00463D24"/>
    <w:rsid w:val="00494F94"/>
    <w:rsid w:val="004F3FF1"/>
    <w:rsid w:val="006F4B74"/>
    <w:rsid w:val="00797FF9"/>
    <w:rsid w:val="008831E8"/>
    <w:rsid w:val="00971805"/>
    <w:rsid w:val="0097585F"/>
    <w:rsid w:val="00BA4335"/>
    <w:rsid w:val="00BE7907"/>
    <w:rsid w:val="00D651BD"/>
    <w:rsid w:val="00DA30BC"/>
    <w:rsid w:val="00E3331B"/>
    <w:rsid w:val="00EA4D70"/>
    <w:rsid w:val="00F64DC3"/>
    <w:rsid w:val="00F74C95"/>
    <w:rsid w:val="00FC50C6"/>
    <w:rsid w:val="00FF6A19"/>
    <w:rsid w:val="04925253"/>
    <w:rsid w:val="063D4F7E"/>
    <w:rsid w:val="08074BF6"/>
    <w:rsid w:val="090E293E"/>
    <w:rsid w:val="09CD1D9A"/>
    <w:rsid w:val="0B8564F6"/>
    <w:rsid w:val="0B8C5C0F"/>
    <w:rsid w:val="0D5E589A"/>
    <w:rsid w:val="10BE10ED"/>
    <w:rsid w:val="11A36E95"/>
    <w:rsid w:val="128F4C45"/>
    <w:rsid w:val="12CC1E0B"/>
    <w:rsid w:val="12DE7825"/>
    <w:rsid w:val="14293155"/>
    <w:rsid w:val="142B534F"/>
    <w:rsid w:val="1525517F"/>
    <w:rsid w:val="17D93043"/>
    <w:rsid w:val="183D143A"/>
    <w:rsid w:val="188840A1"/>
    <w:rsid w:val="18EE5B5B"/>
    <w:rsid w:val="19F56315"/>
    <w:rsid w:val="1AE41750"/>
    <w:rsid w:val="1BD25A4D"/>
    <w:rsid w:val="1BE55780"/>
    <w:rsid w:val="1C4A115C"/>
    <w:rsid w:val="1F9B318C"/>
    <w:rsid w:val="201B5638"/>
    <w:rsid w:val="21076170"/>
    <w:rsid w:val="212D1687"/>
    <w:rsid w:val="21D43DDB"/>
    <w:rsid w:val="22B4034F"/>
    <w:rsid w:val="23807A8E"/>
    <w:rsid w:val="24697B84"/>
    <w:rsid w:val="267D20DA"/>
    <w:rsid w:val="270F3FDF"/>
    <w:rsid w:val="2B4E30C6"/>
    <w:rsid w:val="2B99651C"/>
    <w:rsid w:val="2C5941DA"/>
    <w:rsid w:val="2D907BB8"/>
    <w:rsid w:val="2E4D0866"/>
    <w:rsid w:val="2ECB3F4C"/>
    <w:rsid w:val="2EEA0ED1"/>
    <w:rsid w:val="2F6C243B"/>
    <w:rsid w:val="30264B34"/>
    <w:rsid w:val="30936173"/>
    <w:rsid w:val="31AD1A21"/>
    <w:rsid w:val="31AE3364"/>
    <w:rsid w:val="33E0669D"/>
    <w:rsid w:val="348D0EE6"/>
    <w:rsid w:val="36A11504"/>
    <w:rsid w:val="379836AD"/>
    <w:rsid w:val="3A9F6163"/>
    <w:rsid w:val="3ABC192D"/>
    <w:rsid w:val="3B98710E"/>
    <w:rsid w:val="3D5F1130"/>
    <w:rsid w:val="3DC87D6C"/>
    <w:rsid w:val="3F9D5B14"/>
    <w:rsid w:val="40240D30"/>
    <w:rsid w:val="4065019F"/>
    <w:rsid w:val="45086B53"/>
    <w:rsid w:val="4516350E"/>
    <w:rsid w:val="466057C1"/>
    <w:rsid w:val="486C456D"/>
    <w:rsid w:val="4B5551FE"/>
    <w:rsid w:val="4C5C4F93"/>
    <w:rsid w:val="4CB57D0F"/>
    <w:rsid w:val="4D570E5F"/>
    <w:rsid w:val="4DB91131"/>
    <w:rsid w:val="4E201790"/>
    <w:rsid w:val="4F880B95"/>
    <w:rsid w:val="510B718B"/>
    <w:rsid w:val="51C51127"/>
    <w:rsid w:val="557553AC"/>
    <w:rsid w:val="55913CA7"/>
    <w:rsid w:val="56DC3F96"/>
    <w:rsid w:val="58355079"/>
    <w:rsid w:val="59CE51DB"/>
    <w:rsid w:val="5E60452A"/>
    <w:rsid w:val="5F8959EF"/>
    <w:rsid w:val="60567FC7"/>
    <w:rsid w:val="63DC0640"/>
    <w:rsid w:val="64FF4F0C"/>
    <w:rsid w:val="65686B47"/>
    <w:rsid w:val="66522096"/>
    <w:rsid w:val="68D641AF"/>
    <w:rsid w:val="6919636A"/>
    <w:rsid w:val="6AD364FE"/>
    <w:rsid w:val="6B464815"/>
    <w:rsid w:val="6BC41CEB"/>
    <w:rsid w:val="6D5259E7"/>
    <w:rsid w:val="6F9401C4"/>
    <w:rsid w:val="72BB07F7"/>
    <w:rsid w:val="72D7223C"/>
    <w:rsid w:val="73E534F6"/>
    <w:rsid w:val="78452ACC"/>
    <w:rsid w:val="79BD788F"/>
    <w:rsid w:val="79C55083"/>
    <w:rsid w:val="7AB0675E"/>
    <w:rsid w:val="7AD068E0"/>
    <w:rsid w:val="7BA93249"/>
    <w:rsid w:val="7CDE72A4"/>
    <w:rsid w:val="7D863E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/>
    </w:pPr>
    <w:rPr>
      <w:rFonts w:ascii="Calibri" w:hAnsi="Calibri"/>
    </w:r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7">
    <w:name w:val="Balloon Text"/>
    <w:basedOn w:val="1"/>
    <w:link w:val="16"/>
    <w:qFormat/>
    <w:uiPriority w:val="0"/>
    <w:rPr>
      <w:sz w:val="18"/>
      <w:szCs w:val="18"/>
    </w:rPr>
  </w:style>
  <w:style w:type="paragraph" w:styleId="8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First Indent 2"/>
    <w:basedOn w:val="5"/>
    <w:unhideWhenUsed/>
    <w:qFormat/>
    <w:uiPriority w:val="99"/>
    <w:pPr>
      <w:ind w:firstLine="420" w:firstLineChars="200"/>
    </w:pPr>
  </w:style>
  <w:style w:type="character" w:styleId="13">
    <w:name w:val="Strong"/>
    <w:basedOn w:val="12"/>
    <w:qFormat/>
    <w:uiPriority w:val="0"/>
    <w:rPr>
      <w:b/>
      <w:bCs/>
    </w:rPr>
  </w:style>
  <w:style w:type="character" w:styleId="14">
    <w:name w:val="page number"/>
    <w:basedOn w:val="12"/>
    <w:qFormat/>
    <w:uiPriority w:val="0"/>
  </w:style>
  <w:style w:type="paragraph" w:customStyle="1" w:styleId="15">
    <w:name w:val="闻政正文"/>
    <w:basedOn w:val="1"/>
    <w:qFormat/>
    <w:uiPriority w:val="0"/>
    <w:pPr>
      <w:spacing w:line="500" w:lineRule="exact"/>
      <w:ind w:firstLine="560" w:firstLineChars="200"/>
    </w:pPr>
    <w:rPr>
      <w:rFonts w:eastAsia="仿宋_GB2312"/>
      <w:kern w:val="0"/>
      <w:sz w:val="28"/>
      <w:szCs w:val="28"/>
    </w:rPr>
  </w:style>
  <w:style w:type="character" w:customStyle="1" w:styleId="16">
    <w:name w:val="批注框文本 Char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Char"/>
    <w:basedOn w:val="12"/>
    <w:link w:val="8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5</Pages>
  <Words>1887</Words>
  <Characters>1950</Characters>
  <Lines>12</Lines>
  <Paragraphs>15</Paragraphs>
  <TotalTime>19</TotalTime>
  <ScaleCrop>false</ScaleCrop>
  <LinksUpToDate>false</LinksUpToDate>
  <CharactersWithSpaces>1994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2017-04-01T03:15:00Z</dcterms:created>
  <dc:creator>null,null,预算公开</dc:creator>
  <cp:lastModifiedBy>匿名</cp:lastModifiedBy>
  <cp:lastPrinted>2021-07-12T09:25:00Z</cp:lastPrinted>
  <dcterms:modified xsi:type="dcterms:W3CDTF">2022-09-14T06:36:09Z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7265126FA2A647F99DCDC022C67A4D0A</vt:lpwstr>
  </property>
</Properties>
</file>