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t>长治市</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14:textFill>
            <w14:solidFill>
              <w14:schemeClr w14:val="tx1"/>
            </w14:solidFill>
          </w14:textFill>
        </w:rPr>
        <w:t>城市照明管理</w:t>
      </w:r>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eastAsia="zh-CN"/>
          <w14:textFill>
            <w14:solidFill>
              <w14:schemeClr w14:val="tx1"/>
            </w14:solidFill>
          </w14:textFill>
        </w:rPr>
        <w:t>条例</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楷体" w:hAnsi="楷体" w:eastAsia="楷体" w:cs="楷体"/>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b w:val="0"/>
          <w:bCs w:val="0"/>
          <w:i w:val="0"/>
          <w:caps w:val="0"/>
          <w:color w:val="000000" w:themeColor="text1"/>
          <w:spacing w:val="0"/>
          <w:sz w:val="32"/>
          <w:szCs w:val="32"/>
          <w:shd w:val="clear" w:fill="FFFFFF"/>
          <w:lang w:val="en-US" w:eastAsia="zh-CN"/>
          <w14:textFill>
            <w14:solidFill>
              <w14:schemeClr w14:val="tx1"/>
            </w14:solidFill>
          </w14:textFill>
        </w:rPr>
        <w:t>征求意见稿</w:t>
      </w:r>
      <w:r>
        <w:rPr>
          <w:rFonts w:hint="eastAsia" w:ascii="楷体" w:hAnsi="楷体" w:eastAsia="楷体" w:cs="楷体"/>
          <w:b w:val="0"/>
          <w:bCs w:val="0"/>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Chars="0"/>
        <w:jc w:val="center"/>
        <w:textAlignment w:val="auto"/>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Chars="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第一章 总则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第二章 规划与建设</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第三章 管理与维护</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第四章 节能与环保</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第五章 法律责任</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第六章 附则</w:t>
      </w:r>
    </w:p>
    <w:p>
      <w:pPr>
        <w:keepNext w:val="0"/>
        <w:keepLines w:val="0"/>
        <w:pageBreakBefore w:val="0"/>
        <w:kinsoku/>
        <w:wordWrap/>
        <w:overflowPunct/>
        <w:topLinePunct w:val="0"/>
        <w:autoSpaceDE/>
        <w:autoSpaceDN/>
        <w:bidi w:val="0"/>
        <w:adjustRightInd/>
        <w:snapToGrid/>
        <w:spacing w:line="600" w:lineRule="exact"/>
        <w:ind w:firstLine="0" w:firstLineChars="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  总</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则</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立法目的</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为</w:t>
      </w:r>
      <w:r>
        <w:rPr>
          <w:rFonts w:hint="eastAsia" w:ascii="仿宋" w:hAnsi="仿宋" w:eastAsia="仿宋" w:cs="仿宋"/>
          <w:b w:val="0"/>
          <w:bCs w:val="0"/>
          <w:color w:val="000000" w:themeColor="text1"/>
          <w:sz w:val="32"/>
          <w:szCs w:val="32"/>
          <w:lang w:eastAsia="zh-CN"/>
          <w14:textFill>
            <w14:solidFill>
              <w14:schemeClr w14:val="tx1"/>
            </w14:solidFill>
          </w14:textFill>
        </w:rPr>
        <w:t>了加强</w:t>
      </w:r>
      <w:r>
        <w:rPr>
          <w:rFonts w:hint="eastAsia" w:ascii="仿宋" w:hAnsi="仿宋" w:eastAsia="仿宋" w:cs="仿宋"/>
          <w:b w:val="0"/>
          <w:bCs w:val="0"/>
          <w:color w:val="000000" w:themeColor="text1"/>
          <w:sz w:val="32"/>
          <w:szCs w:val="32"/>
          <w14:textFill>
            <w14:solidFill>
              <w14:schemeClr w14:val="tx1"/>
            </w14:solidFill>
          </w14:textFill>
        </w:rPr>
        <w:t>城市照明管理，改善城市景观环境，</w:t>
      </w:r>
      <w:r>
        <w:rPr>
          <w:rFonts w:hint="eastAsia" w:ascii="仿宋" w:hAnsi="仿宋" w:eastAsia="仿宋" w:cs="仿宋"/>
          <w:b w:val="0"/>
          <w:bCs w:val="0"/>
          <w:color w:val="000000" w:themeColor="text1"/>
          <w:sz w:val="32"/>
          <w:szCs w:val="32"/>
          <w:lang w:eastAsia="zh-CN"/>
          <w14:textFill>
            <w14:solidFill>
              <w14:schemeClr w14:val="tx1"/>
            </w14:solidFill>
          </w14:textFill>
        </w:rPr>
        <w:t>保证城市照明安全</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促进</w:t>
      </w:r>
      <w:r>
        <w:rPr>
          <w:rFonts w:hint="eastAsia" w:ascii="仿宋" w:hAnsi="仿宋" w:eastAsia="仿宋" w:cs="仿宋"/>
          <w:b w:val="0"/>
          <w:bCs w:val="0"/>
          <w:color w:val="000000" w:themeColor="text1"/>
          <w:sz w:val="32"/>
          <w:szCs w:val="32"/>
          <w:lang w:eastAsia="zh-CN"/>
          <w14:textFill>
            <w14:solidFill>
              <w14:schemeClr w14:val="tx1"/>
            </w14:solidFill>
          </w14:textFill>
        </w:rPr>
        <w:t>能源节约，</w:t>
      </w:r>
      <w:r>
        <w:rPr>
          <w:rFonts w:hint="eastAsia" w:ascii="仿宋" w:hAnsi="仿宋" w:eastAsia="仿宋" w:cs="仿宋"/>
          <w:b w:val="0"/>
          <w:bCs w:val="0"/>
          <w:color w:val="000000" w:themeColor="text1"/>
          <w:sz w:val="32"/>
          <w:szCs w:val="32"/>
          <w14:textFill>
            <w14:solidFill>
              <w14:schemeClr w14:val="tx1"/>
            </w14:solidFill>
          </w14:textFill>
        </w:rPr>
        <w:t>根据有关法律</w:t>
      </w:r>
      <w:r>
        <w:rPr>
          <w:rFonts w:hint="eastAsia" w:ascii="仿宋" w:hAnsi="仿宋" w:eastAsia="仿宋" w:cs="仿宋"/>
          <w:b w:val="0"/>
          <w:bCs w:val="0"/>
          <w:color w:val="0000FF"/>
          <w:sz w:val="32"/>
          <w:szCs w:val="32"/>
          <w:lang w:eastAsia="zh-CN"/>
        </w:rPr>
        <w:t>、</w:t>
      </w:r>
      <w:r>
        <w:rPr>
          <w:rFonts w:hint="eastAsia" w:ascii="仿宋" w:hAnsi="仿宋" w:eastAsia="仿宋" w:cs="仿宋"/>
          <w:b w:val="0"/>
          <w:bCs w:val="0"/>
          <w:color w:val="000000" w:themeColor="text1"/>
          <w:sz w:val="32"/>
          <w:szCs w:val="32"/>
          <w14:textFill>
            <w14:solidFill>
              <w14:schemeClr w14:val="tx1"/>
            </w14:solidFill>
          </w14:textFill>
        </w:rPr>
        <w:t>法规的规定，结合</w:t>
      </w:r>
      <w:r>
        <w:rPr>
          <w:rFonts w:hint="eastAsia" w:ascii="仿宋" w:hAnsi="仿宋" w:eastAsia="仿宋" w:cs="仿宋"/>
          <w:b w:val="0"/>
          <w:bCs w:val="0"/>
          <w:color w:val="000000" w:themeColor="text1"/>
          <w:sz w:val="32"/>
          <w:szCs w:val="32"/>
          <w:lang w:eastAsia="zh-CN"/>
          <w14:textFill>
            <w14:solidFill>
              <w14:schemeClr w14:val="tx1"/>
            </w14:solidFill>
          </w14:textFill>
        </w:rPr>
        <w:t>本市</w:t>
      </w:r>
      <w:r>
        <w:rPr>
          <w:rFonts w:hint="eastAsia" w:ascii="仿宋" w:hAnsi="仿宋" w:eastAsia="仿宋" w:cs="仿宋"/>
          <w:b w:val="0"/>
          <w:bCs w:val="0"/>
          <w:color w:val="000000" w:themeColor="text1"/>
          <w:sz w:val="32"/>
          <w:szCs w:val="32"/>
          <w14:textFill>
            <w14:solidFill>
              <w14:schemeClr w14:val="tx1"/>
            </w14:solidFill>
          </w14:textFill>
        </w:rPr>
        <w:t>实际，制定本</w:t>
      </w:r>
      <w:r>
        <w:rPr>
          <w:rFonts w:hint="eastAsia" w:ascii="仿宋" w:hAnsi="仿宋" w:eastAsia="仿宋" w:cs="仿宋"/>
          <w:b w:val="0"/>
          <w:bCs w:val="0"/>
          <w:color w:val="000000" w:themeColor="text1"/>
          <w:sz w:val="32"/>
          <w:szCs w:val="32"/>
          <w:lang w:eastAsia="zh-CN"/>
          <w14:textFill>
            <w14:solidFill>
              <w14:schemeClr w14:val="tx1"/>
            </w14:solidFill>
          </w14:textFill>
        </w:rPr>
        <w:t>条例</w:t>
      </w:r>
      <w:r>
        <w:rPr>
          <w:rFonts w:hint="eastAsia" w:ascii="仿宋" w:hAnsi="仿宋" w:eastAsia="仿宋" w:cs="仿宋"/>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适用范围</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本市行政区域内</w:t>
      </w:r>
      <w:r>
        <w:rPr>
          <w:rFonts w:hint="eastAsia" w:ascii="仿宋" w:hAnsi="仿宋" w:eastAsia="仿宋" w:cs="仿宋"/>
          <w:b w:val="0"/>
          <w:bCs w:val="0"/>
          <w:color w:val="000000" w:themeColor="text1"/>
          <w:sz w:val="32"/>
          <w:szCs w:val="32"/>
          <w14:textFill>
            <w14:solidFill>
              <w14:schemeClr w14:val="tx1"/>
            </w14:solidFill>
          </w14:textFill>
        </w:rPr>
        <w:t>城市照明的规划</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建设、维护</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运行</w:t>
      </w:r>
      <w:r>
        <w:rPr>
          <w:rFonts w:hint="eastAsia" w:ascii="仿宋" w:hAnsi="仿宋" w:eastAsia="仿宋" w:cs="仿宋"/>
          <w:b w:val="0"/>
          <w:bCs w:val="0"/>
          <w:color w:val="000000" w:themeColor="text1"/>
          <w:sz w:val="32"/>
          <w:szCs w:val="32"/>
          <w:lang w:eastAsia="zh-CN"/>
          <w14:textFill>
            <w14:solidFill>
              <w14:schemeClr w14:val="tx1"/>
            </w14:solidFill>
          </w14:textFill>
        </w:rPr>
        <w:t>和</w:t>
      </w:r>
      <w:r>
        <w:rPr>
          <w:rFonts w:hint="eastAsia" w:ascii="仿宋" w:hAnsi="仿宋" w:eastAsia="仿宋" w:cs="仿宋"/>
          <w:b w:val="0"/>
          <w:bCs w:val="0"/>
          <w:color w:val="000000" w:themeColor="text1"/>
          <w:sz w:val="32"/>
          <w:szCs w:val="32"/>
          <w14:textFill>
            <w14:solidFill>
              <w14:schemeClr w14:val="tx1"/>
            </w14:solidFill>
          </w14:textFill>
        </w:rPr>
        <w:t>监督管理</w:t>
      </w:r>
      <w:r>
        <w:rPr>
          <w:rFonts w:hint="eastAsia" w:ascii="仿宋" w:hAnsi="仿宋" w:eastAsia="仿宋" w:cs="仿宋"/>
          <w:b w:val="0"/>
          <w:bCs w:val="0"/>
          <w:color w:val="000000" w:themeColor="text1"/>
          <w:sz w:val="32"/>
          <w:szCs w:val="32"/>
          <w:lang w:eastAsia="zh-CN"/>
          <w14:textFill>
            <w14:solidFill>
              <w14:schemeClr w14:val="tx1"/>
            </w14:solidFill>
          </w14:textFill>
        </w:rPr>
        <w:t>等活动</w:t>
      </w:r>
      <w:r>
        <w:rPr>
          <w:rFonts w:hint="eastAsia" w:ascii="仿宋" w:hAnsi="仿宋" w:eastAsia="仿宋" w:cs="仿宋"/>
          <w:b w:val="0"/>
          <w:bCs w:val="0"/>
          <w:color w:val="000000" w:themeColor="text1"/>
          <w:sz w:val="32"/>
          <w:szCs w:val="32"/>
          <w:lang w:val="en-US" w:eastAsia="zh-CN"/>
          <w14:textFill>
            <w14:solidFill>
              <w14:schemeClr w14:val="tx1"/>
            </w14:solidFill>
          </w14:textFill>
        </w:rPr>
        <w:t>适用本条例</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遵循原则</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城市照明</w:t>
      </w:r>
      <w:r>
        <w:rPr>
          <w:rFonts w:hint="eastAsia" w:ascii="仿宋" w:hAnsi="仿宋" w:eastAsia="仿宋" w:cs="仿宋"/>
          <w:b w:val="0"/>
          <w:bCs w:val="0"/>
          <w:color w:val="000000" w:themeColor="text1"/>
          <w:sz w:val="32"/>
          <w:szCs w:val="32"/>
          <w:lang w:eastAsia="zh-CN"/>
          <w14:textFill>
            <w14:solidFill>
              <w14:schemeClr w14:val="tx1"/>
            </w14:solidFill>
          </w14:textFill>
        </w:rPr>
        <w:t>应当</w:t>
      </w:r>
      <w:r>
        <w:rPr>
          <w:rFonts w:hint="eastAsia" w:ascii="仿宋" w:hAnsi="仿宋" w:eastAsia="仿宋" w:cs="仿宋"/>
          <w:b w:val="0"/>
          <w:bCs w:val="0"/>
          <w:color w:val="000000" w:themeColor="text1"/>
          <w:sz w:val="32"/>
          <w:szCs w:val="32"/>
          <w14:textFill>
            <w14:solidFill>
              <w14:schemeClr w14:val="tx1"/>
            </w14:solidFill>
          </w14:textFill>
        </w:rPr>
        <w:t>遵循</w:t>
      </w:r>
      <w:r>
        <w:rPr>
          <w:rFonts w:hint="eastAsia" w:ascii="仿宋" w:hAnsi="仿宋" w:eastAsia="仿宋" w:cs="仿宋"/>
          <w:b w:val="0"/>
          <w:bCs w:val="0"/>
          <w:color w:val="000000" w:themeColor="text1"/>
          <w:sz w:val="32"/>
          <w:szCs w:val="32"/>
          <w:lang w:eastAsia="zh-CN"/>
          <w14:textFill>
            <w14:solidFill>
              <w14:schemeClr w14:val="tx1"/>
            </w14:solidFill>
          </w14:textFill>
        </w:rPr>
        <w:t>以人为本、统筹规划、经济适用、节能环保、美化环境</w:t>
      </w:r>
      <w:r>
        <w:rPr>
          <w:rFonts w:hint="eastAsia" w:ascii="仿宋" w:hAnsi="仿宋" w:eastAsia="仿宋" w:cs="仿宋"/>
          <w:b w:val="0"/>
          <w:bCs w:val="0"/>
          <w:color w:val="000000" w:themeColor="text1"/>
          <w:sz w:val="32"/>
          <w:szCs w:val="32"/>
          <w14:textFill>
            <w14:solidFill>
              <w14:schemeClr w14:val="tx1"/>
            </w14:solidFill>
          </w14:textFill>
        </w:rPr>
        <w:t>的原则</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城市照明建设应当与城市经济、社会、文化的发展相适应，满足人民群众</w:t>
      </w:r>
      <w:r>
        <w:rPr>
          <w:rFonts w:hint="eastAsia" w:ascii="仿宋" w:hAnsi="仿宋" w:eastAsia="仿宋" w:cs="仿宋"/>
          <w:b w:val="0"/>
          <w:bCs w:val="0"/>
          <w:color w:val="000000" w:themeColor="text1"/>
          <w:sz w:val="32"/>
          <w:szCs w:val="32"/>
          <w:lang w:val="en-US" w:eastAsia="zh-CN"/>
          <w14:textFill>
            <w14:solidFill>
              <w14:schemeClr w14:val="tx1"/>
            </w14:solidFill>
          </w14:textFill>
        </w:rPr>
        <w:t>生产</w:t>
      </w:r>
      <w:r>
        <w:rPr>
          <w:rFonts w:hint="eastAsia" w:ascii="仿宋" w:hAnsi="仿宋" w:eastAsia="仿宋" w:cs="仿宋"/>
          <w:b w:val="0"/>
          <w:bCs w:val="0"/>
          <w:color w:val="000000" w:themeColor="text1"/>
          <w:sz w:val="32"/>
          <w:szCs w:val="32"/>
          <w14:textFill>
            <w14:solidFill>
              <w14:schemeClr w14:val="tx1"/>
            </w14:solidFill>
          </w14:textFill>
        </w:rPr>
        <w:t>生活需要</w:t>
      </w:r>
      <w:r>
        <w:rPr>
          <w:rFonts w:hint="eastAsia" w:ascii="仿宋" w:hAnsi="仿宋" w:eastAsia="仿宋" w:cs="仿宋"/>
          <w:b w:val="0"/>
          <w:bCs w:val="0"/>
          <w:color w:val="000000" w:themeColor="text1"/>
          <w:sz w:val="32"/>
          <w:szCs w:val="32"/>
          <w:lang w:eastAsia="zh-CN"/>
          <w14:textFill>
            <w14:solidFill>
              <w14:schemeClr w14:val="tx1"/>
            </w14:solidFill>
          </w14:textFill>
        </w:rPr>
        <w:t>，提高城市品质</w:t>
      </w:r>
      <w:r>
        <w:rPr>
          <w:rFonts w:hint="eastAsia" w:ascii="仿宋" w:hAnsi="仿宋" w:eastAsia="仿宋" w:cs="仿宋"/>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责任分工</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市住房和城乡建设</w:t>
      </w:r>
      <w:r>
        <w:rPr>
          <w:rFonts w:hint="eastAsia" w:ascii="仿宋" w:hAnsi="仿宋" w:eastAsia="仿宋" w:cs="仿宋"/>
          <w:b w:val="0"/>
          <w:bCs w:val="0"/>
          <w:color w:val="000000" w:themeColor="text1"/>
          <w:sz w:val="32"/>
          <w:szCs w:val="32"/>
          <w:lang w:val="en-US" w:eastAsia="zh-CN"/>
          <w14:textFill>
            <w14:solidFill>
              <w14:schemeClr w14:val="tx1"/>
            </w14:solidFill>
          </w14:textFill>
        </w:rPr>
        <w:t>行政</w:t>
      </w:r>
      <w:r>
        <w:rPr>
          <w:rFonts w:hint="eastAsia" w:ascii="仿宋" w:hAnsi="仿宋" w:eastAsia="仿宋" w:cs="仿宋"/>
          <w:b w:val="0"/>
          <w:bCs w:val="0"/>
          <w:color w:val="000000" w:themeColor="text1"/>
          <w:sz w:val="32"/>
          <w:szCs w:val="32"/>
          <w14:textFill>
            <w14:solidFill>
              <w14:schemeClr w14:val="tx1"/>
            </w14:solidFill>
          </w14:textFill>
        </w:rPr>
        <w:t>主管部门</w:t>
      </w:r>
      <w:r>
        <w:rPr>
          <w:rFonts w:hint="eastAsia" w:ascii="仿宋" w:hAnsi="仿宋" w:eastAsia="仿宋" w:cs="仿宋"/>
          <w:b w:val="0"/>
          <w:bCs w:val="0"/>
          <w:color w:val="000000" w:themeColor="text1"/>
          <w:sz w:val="32"/>
          <w:szCs w:val="32"/>
          <w:lang w:eastAsia="zh-CN"/>
          <w14:textFill>
            <w14:solidFill>
              <w14:schemeClr w14:val="tx1"/>
            </w14:solidFill>
          </w14:textFill>
        </w:rPr>
        <w:t>是城市照明管理工作的主管部门，</w:t>
      </w:r>
      <w:r>
        <w:rPr>
          <w:rFonts w:hint="eastAsia" w:ascii="仿宋" w:hAnsi="仿宋" w:eastAsia="仿宋" w:cs="仿宋"/>
          <w:b w:val="0"/>
          <w:bCs w:val="0"/>
          <w:color w:val="000000" w:themeColor="text1"/>
          <w:sz w:val="32"/>
          <w:szCs w:val="32"/>
          <w:lang w:val="en-US" w:eastAsia="zh-CN"/>
          <w14:textFill>
            <w14:solidFill>
              <w14:schemeClr w14:val="tx1"/>
            </w14:solidFill>
          </w14:textFill>
        </w:rPr>
        <w:t>负责</w:t>
      </w:r>
      <w:r>
        <w:rPr>
          <w:rFonts w:hint="eastAsia" w:ascii="仿宋" w:hAnsi="仿宋" w:eastAsia="仿宋" w:cs="仿宋"/>
          <w:b w:val="0"/>
          <w:bCs w:val="0"/>
          <w:color w:val="000000" w:themeColor="text1"/>
          <w:sz w:val="32"/>
          <w:szCs w:val="32"/>
          <w:lang w:eastAsia="zh-CN"/>
          <w14:textFill>
            <w14:solidFill>
              <w14:schemeClr w14:val="tx1"/>
            </w14:solidFill>
          </w14:textFill>
        </w:rPr>
        <w:t>组织实施本条例；</w:t>
      </w:r>
      <w:r>
        <w:rPr>
          <w:rFonts w:hint="eastAsia" w:ascii="仿宋" w:hAnsi="仿宋" w:eastAsia="仿宋" w:cs="仿宋"/>
          <w:b w:val="0"/>
          <w:bCs w:val="0"/>
          <w:color w:val="000000" w:themeColor="text1"/>
          <w:sz w:val="32"/>
          <w:szCs w:val="32"/>
          <w:lang w:val="en-US" w:eastAsia="zh-CN"/>
          <w14:textFill>
            <w14:solidFill>
              <w14:schemeClr w14:val="tx1"/>
            </w14:solidFill>
          </w14:textFill>
        </w:rPr>
        <w:t>其所属的城市照明管理机构</w:t>
      </w:r>
      <w:r>
        <w:rPr>
          <w:rFonts w:hint="eastAsia" w:ascii="仿宋" w:hAnsi="仿宋" w:eastAsia="仿宋" w:cs="仿宋"/>
          <w:b w:val="0"/>
          <w:bCs w:val="0"/>
          <w:color w:val="000000" w:themeColor="text1"/>
          <w:sz w:val="32"/>
          <w:szCs w:val="32"/>
          <w:lang w:eastAsia="zh-CN"/>
          <w14:textFill>
            <w14:solidFill>
              <w14:schemeClr w14:val="tx1"/>
            </w14:solidFill>
          </w14:textFill>
        </w:rPr>
        <w:t>依照本条例的规定具体负责</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城市照明设施的建设、运行、维护和相关管理工作。</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人民政府确定的城市照明行政主管部门</w:t>
      </w:r>
      <w:r>
        <w:rPr>
          <w:rFonts w:hint="eastAsia" w:ascii="仿宋" w:hAnsi="仿宋" w:eastAsia="仿宋" w:cs="仿宋"/>
          <w:b w:val="0"/>
          <w:bCs w:val="0"/>
          <w:color w:val="000000" w:themeColor="text1"/>
          <w:sz w:val="32"/>
          <w:szCs w:val="32"/>
          <w:lang w:eastAsia="zh-CN"/>
          <w14:textFill>
            <w14:solidFill>
              <w14:schemeClr w14:val="tx1"/>
            </w14:solidFill>
          </w14:textFill>
        </w:rPr>
        <w:t>按照职责分工负责本行政区域内的城市照明管理工作。</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城市管理、规划和自然资源</w:t>
      </w:r>
      <w:r>
        <w:rPr>
          <w:rFonts w:hint="eastAsia" w:ascii="仿宋" w:hAnsi="仿宋" w:eastAsia="仿宋" w:cs="仿宋"/>
          <w:b w:val="0"/>
          <w:bCs w:val="0"/>
          <w:color w:val="000000" w:themeColor="text1"/>
          <w:sz w:val="32"/>
          <w:szCs w:val="32"/>
          <w:lang w:eastAsia="zh-CN"/>
          <w14:textFill>
            <w14:solidFill>
              <w14:schemeClr w14:val="tx1"/>
            </w14:solidFill>
          </w14:textFill>
        </w:rPr>
        <w:t>、交通</w:t>
      </w:r>
      <w:r>
        <w:rPr>
          <w:rFonts w:hint="eastAsia" w:ascii="仿宋" w:hAnsi="仿宋" w:eastAsia="仿宋" w:cs="仿宋"/>
          <w:b w:val="0"/>
          <w:bCs w:val="0"/>
          <w:color w:val="000000" w:themeColor="text1"/>
          <w:sz w:val="32"/>
          <w:szCs w:val="32"/>
          <w14:textFill>
            <w14:solidFill>
              <w14:schemeClr w14:val="tx1"/>
            </w14:solidFill>
          </w14:textFill>
        </w:rPr>
        <w:t>运输、</w:t>
      </w:r>
      <w:r>
        <w:rPr>
          <w:rFonts w:hint="eastAsia" w:ascii="仿宋" w:hAnsi="仿宋" w:eastAsia="仿宋" w:cs="仿宋"/>
          <w:b w:val="0"/>
          <w:bCs w:val="0"/>
          <w:color w:val="000000" w:themeColor="text1"/>
          <w:sz w:val="32"/>
          <w:szCs w:val="32"/>
          <w:lang w:val="en-US" w:eastAsia="zh-CN"/>
          <w14:textFill>
            <w14:solidFill>
              <w14:schemeClr w14:val="tx1"/>
            </w14:solidFill>
          </w14:textFill>
        </w:rPr>
        <w:t>文化和旅游</w:t>
      </w:r>
      <w:r>
        <w:rPr>
          <w:rFonts w:hint="eastAsia" w:ascii="仿宋" w:hAnsi="仿宋" w:eastAsia="仿宋" w:cs="仿宋"/>
          <w:b w:val="0"/>
          <w:bCs w:val="0"/>
          <w:color w:val="000000" w:themeColor="text1"/>
          <w:sz w:val="32"/>
          <w:szCs w:val="32"/>
          <w14:textFill>
            <w14:solidFill>
              <w14:schemeClr w14:val="tx1"/>
            </w14:solidFill>
          </w14:textFill>
        </w:rPr>
        <w:t>、公安、</w:t>
      </w:r>
      <w:r>
        <w:rPr>
          <w:rFonts w:hint="eastAsia" w:ascii="仿宋" w:hAnsi="仿宋" w:eastAsia="仿宋" w:cs="仿宋"/>
          <w:b w:val="0"/>
          <w:bCs w:val="0"/>
          <w:color w:val="000000" w:themeColor="text1"/>
          <w:sz w:val="32"/>
          <w:szCs w:val="32"/>
          <w:lang w:val="en-US" w:eastAsia="zh-CN"/>
          <w14:textFill>
            <w14:solidFill>
              <w14:schemeClr w14:val="tx1"/>
            </w14:solidFill>
          </w14:textFill>
        </w:rPr>
        <w:t>生态环境、</w:t>
      </w:r>
      <w:r>
        <w:rPr>
          <w:rFonts w:hint="eastAsia" w:ascii="仿宋" w:hAnsi="仿宋" w:eastAsia="仿宋" w:cs="仿宋"/>
          <w:b w:val="0"/>
          <w:bCs w:val="0"/>
          <w:color w:val="000000" w:themeColor="text1"/>
          <w:sz w:val="32"/>
          <w:szCs w:val="32"/>
          <w14:textFill>
            <w14:solidFill>
              <w14:schemeClr w14:val="tx1"/>
            </w14:solidFill>
          </w14:textFill>
        </w:rPr>
        <w:t>财政等行政</w:t>
      </w:r>
      <w:r>
        <w:rPr>
          <w:rFonts w:hint="eastAsia" w:ascii="仿宋" w:hAnsi="仿宋" w:eastAsia="仿宋" w:cs="仿宋"/>
          <w:b w:val="0"/>
          <w:bCs w:val="0"/>
          <w:color w:val="000000" w:themeColor="text1"/>
          <w:sz w:val="32"/>
          <w:szCs w:val="32"/>
          <w:lang w:val="en-US" w:eastAsia="zh-CN"/>
          <w14:textFill>
            <w14:solidFill>
              <w14:schemeClr w14:val="tx1"/>
            </w14:solidFill>
          </w14:textFill>
        </w:rPr>
        <w:t>主管</w:t>
      </w:r>
      <w:r>
        <w:rPr>
          <w:rFonts w:hint="eastAsia" w:ascii="仿宋" w:hAnsi="仿宋" w:eastAsia="仿宋" w:cs="仿宋"/>
          <w:b w:val="0"/>
          <w:bCs w:val="0"/>
          <w:color w:val="000000" w:themeColor="text1"/>
          <w:sz w:val="32"/>
          <w:szCs w:val="32"/>
          <w14:textFill>
            <w14:solidFill>
              <w14:schemeClr w14:val="tx1"/>
            </w14:solidFill>
          </w14:textFill>
        </w:rPr>
        <w:t>部门</w:t>
      </w:r>
      <w:r>
        <w:rPr>
          <w:rFonts w:hint="eastAsia" w:ascii="仿宋" w:hAnsi="仿宋" w:eastAsia="仿宋" w:cs="仿宋"/>
          <w:b w:val="0"/>
          <w:bCs w:val="0"/>
          <w:color w:val="000000" w:themeColor="text1"/>
          <w:sz w:val="32"/>
          <w:szCs w:val="32"/>
          <w:lang w:val="en-US" w:eastAsia="zh-CN"/>
          <w14:textFill>
            <w14:solidFill>
              <w14:schemeClr w14:val="tx1"/>
            </w14:solidFill>
          </w14:textFill>
        </w:rPr>
        <w:t>应当按照各自职责，分别做好城市照明有关工作。</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资金来源</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政府投资的城市照明设施的建设</w:t>
      </w:r>
      <w:r>
        <w:rPr>
          <w:rFonts w:hint="eastAsia" w:ascii="仿宋" w:hAnsi="仿宋" w:eastAsia="仿宋" w:cs="仿宋"/>
          <w:b w:val="0"/>
          <w:bCs w:val="0"/>
          <w:color w:val="000000" w:themeColor="text1"/>
          <w:sz w:val="32"/>
          <w:szCs w:val="32"/>
          <w:lang w:eastAsia="zh-CN"/>
          <w14:textFill>
            <w14:solidFill>
              <w14:schemeClr w14:val="tx1"/>
            </w14:solidFill>
          </w14:textFill>
        </w:rPr>
        <w:t>、维护、运行和管理</w:t>
      </w:r>
      <w:r>
        <w:rPr>
          <w:rFonts w:hint="eastAsia" w:ascii="仿宋" w:hAnsi="仿宋" w:eastAsia="仿宋" w:cs="仿宋"/>
          <w:b w:val="0"/>
          <w:bCs w:val="0"/>
          <w:color w:val="000000" w:themeColor="text1"/>
          <w:sz w:val="32"/>
          <w:szCs w:val="32"/>
          <w14:textFill>
            <w14:solidFill>
              <w14:schemeClr w14:val="tx1"/>
            </w14:solidFill>
          </w14:textFill>
        </w:rPr>
        <w:t>经费，应当</w:t>
      </w:r>
      <w:r>
        <w:rPr>
          <w:rFonts w:hint="eastAsia" w:ascii="仿宋" w:hAnsi="仿宋" w:eastAsia="仿宋" w:cs="仿宋"/>
          <w:b w:val="0"/>
          <w:bCs w:val="0"/>
          <w:color w:val="000000" w:themeColor="text1"/>
          <w:sz w:val="32"/>
          <w:szCs w:val="32"/>
          <w:lang w:eastAsia="zh-CN"/>
          <w14:textFill>
            <w14:solidFill>
              <w14:schemeClr w14:val="tx1"/>
            </w14:solidFill>
          </w14:textFill>
        </w:rPr>
        <w:t>列</w:t>
      </w:r>
      <w:r>
        <w:rPr>
          <w:rFonts w:hint="eastAsia" w:ascii="仿宋" w:hAnsi="仿宋" w:eastAsia="仿宋" w:cs="仿宋"/>
          <w:b w:val="0"/>
          <w:bCs w:val="0"/>
          <w:color w:val="000000" w:themeColor="text1"/>
          <w:sz w:val="32"/>
          <w:szCs w:val="32"/>
          <w14:textFill>
            <w14:solidFill>
              <w14:schemeClr w14:val="tx1"/>
            </w14:solidFill>
          </w14:textFill>
        </w:rPr>
        <w:t>入</w:t>
      </w:r>
      <w:r>
        <w:rPr>
          <w:rFonts w:hint="eastAsia" w:ascii="仿宋" w:hAnsi="仿宋" w:eastAsia="仿宋" w:cs="仿宋"/>
          <w:b w:val="0"/>
          <w:bCs w:val="0"/>
          <w:color w:val="000000" w:themeColor="text1"/>
          <w:sz w:val="32"/>
          <w:szCs w:val="32"/>
          <w:lang w:eastAsia="zh-CN"/>
          <w14:textFill>
            <w14:solidFill>
              <w14:schemeClr w14:val="tx1"/>
            </w14:solidFill>
          </w14:textFill>
        </w:rPr>
        <w:t>本</w:t>
      </w:r>
      <w:r>
        <w:rPr>
          <w:rFonts w:hint="eastAsia" w:ascii="仿宋" w:hAnsi="仿宋" w:eastAsia="仿宋" w:cs="仿宋"/>
          <w:b w:val="0"/>
          <w:bCs w:val="0"/>
          <w:color w:val="000000" w:themeColor="text1"/>
          <w:sz w:val="32"/>
          <w:szCs w:val="32"/>
          <w:lang w:val="en-US" w:eastAsia="zh-CN"/>
          <w14:textFill>
            <w14:solidFill>
              <w14:schemeClr w14:val="tx1"/>
            </w14:solidFill>
          </w14:textFill>
        </w:rPr>
        <w:t>级政府</w:t>
      </w:r>
      <w:r>
        <w:rPr>
          <w:rFonts w:hint="eastAsia" w:ascii="仿宋" w:hAnsi="仿宋" w:eastAsia="仿宋" w:cs="仿宋"/>
          <w:b w:val="0"/>
          <w:bCs w:val="0"/>
          <w:color w:val="000000" w:themeColor="text1"/>
          <w:sz w:val="32"/>
          <w:szCs w:val="32"/>
          <w:lang w:eastAsia="zh-CN"/>
          <w14:textFill>
            <w14:solidFill>
              <w14:schemeClr w14:val="tx1"/>
            </w14:solidFill>
          </w14:textFill>
        </w:rPr>
        <w:t>财政预算</w:t>
      </w:r>
      <w:r>
        <w:rPr>
          <w:rFonts w:hint="eastAsia" w:ascii="仿宋" w:hAnsi="仿宋" w:eastAsia="仿宋" w:cs="仿宋"/>
          <w:b w:val="0"/>
          <w:bCs w:val="0"/>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鼓励社会资金投资城市照明设施的建设和运行维护</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第六条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鼓励节能</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鼓励在城市照明建设、运行维护中使用节能环保的新技术、新工艺、新材料、新光源，提高城市照明的科学技术水平。</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第七条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社会监督和表彰奖励</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任何单位和个人都有权制止和举报损害城市照明设施的行为。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城市照明行政主管部门</w:t>
      </w:r>
      <w:r>
        <w:rPr>
          <w:rFonts w:hint="eastAsia" w:ascii="仿宋" w:hAnsi="仿宋" w:eastAsia="仿宋" w:cs="仿宋"/>
          <w:b w:val="0"/>
          <w:bCs w:val="0"/>
          <w:color w:val="000000" w:themeColor="text1"/>
          <w:sz w:val="32"/>
          <w:szCs w:val="32"/>
          <w:lang w:eastAsia="zh-CN"/>
          <w14:textFill>
            <w14:solidFill>
              <w14:schemeClr w14:val="tx1"/>
            </w14:solidFill>
          </w14:textFill>
        </w:rPr>
        <w:t>应当建立投诉、举报受理制度，</w:t>
      </w:r>
      <w:r>
        <w:rPr>
          <w:rFonts w:hint="eastAsia" w:ascii="仿宋" w:hAnsi="仿宋" w:eastAsia="仿宋" w:cs="仿宋"/>
          <w:b w:val="0"/>
          <w:bCs w:val="0"/>
          <w:color w:val="000000" w:themeColor="text1"/>
          <w:sz w:val="32"/>
          <w:szCs w:val="32"/>
          <w:lang w:val="en-US" w:eastAsia="zh-CN"/>
          <w14:textFill>
            <w14:solidFill>
              <w14:schemeClr w14:val="tx1"/>
            </w14:solidFill>
          </w14:textFill>
        </w:rPr>
        <w:t>对在城市照明节能工作中做出突出贡献的单位和个人，应当给予表彰和奖励。</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规划</w:t>
      </w:r>
      <w:r>
        <w:rPr>
          <w:rFonts w:hint="eastAsia" w:ascii="黑体" w:hAnsi="黑体" w:eastAsia="黑体" w:cs="黑体"/>
          <w:b w:val="0"/>
          <w:bCs w:val="0"/>
          <w:color w:val="000000" w:themeColor="text1"/>
          <w:sz w:val="32"/>
          <w:szCs w:val="32"/>
          <w:lang w:val="en-US" w:eastAsia="zh-CN"/>
          <w14:textFill>
            <w14:solidFill>
              <w14:schemeClr w14:val="tx1"/>
            </w14:solidFill>
          </w14:textFill>
        </w:rPr>
        <w:t>与</w:t>
      </w:r>
      <w:r>
        <w:rPr>
          <w:rFonts w:hint="eastAsia" w:ascii="黑体" w:hAnsi="黑体" w:eastAsia="黑体" w:cs="黑体"/>
          <w:b w:val="0"/>
          <w:bCs w:val="0"/>
          <w:color w:val="000000" w:themeColor="text1"/>
          <w:sz w:val="32"/>
          <w:szCs w:val="32"/>
          <w14:textFill>
            <w14:solidFill>
              <w14:schemeClr w14:val="tx1"/>
            </w14:solidFill>
          </w14:textFill>
        </w:rPr>
        <w:t>建设</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规划制定</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市</w:t>
      </w:r>
      <w:r>
        <w:rPr>
          <w:rFonts w:hint="eastAsia" w:ascii="仿宋" w:hAnsi="仿宋" w:eastAsia="仿宋" w:cs="仿宋"/>
          <w:b w:val="0"/>
          <w:bCs w:val="0"/>
          <w:color w:val="000000" w:themeColor="text1"/>
          <w:sz w:val="32"/>
          <w:szCs w:val="32"/>
          <w:lang w:val="en-US" w:eastAsia="zh-CN"/>
          <w14:textFill>
            <w14:solidFill>
              <w14:schemeClr w14:val="tx1"/>
            </w14:solidFill>
          </w14:textFill>
        </w:rPr>
        <w:t>住房和城乡建设行政主管部门</w:t>
      </w:r>
      <w:r>
        <w:rPr>
          <w:rFonts w:hint="eastAsia" w:ascii="仿宋" w:hAnsi="仿宋" w:eastAsia="仿宋" w:cs="仿宋"/>
          <w:b w:val="0"/>
          <w:bCs w:val="0"/>
          <w:color w:val="000000" w:themeColor="text1"/>
          <w:sz w:val="32"/>
          <w:szCs w:val="32"/>
          <w14:textFill>
            <w14:solidFill>
              <w14:schemeClr w14:val="tx1"/>
            </w14:solidFill>
          </w14:textFill>
        </w:rPr>
        <w:t>应当会同市</w:t>
      </w:r>
      <w:r>
        <w:rPr>
          <w:rFonts w:hint="eastAsia" w:ascii="仿宋" w:hAnsi="仿宋" w:eastAsia="仿宋" w:cs="仿宋"/>
          <w:b w:val="0"/>
          <w:bCs w:val="0"/>
          <w:color w:val="000000" w:themeColor="text1"/>
          <w:sz w:val="32"/>
          <w:szCs w:val="32"/>
          <w:lang w:val="en-US" w:eastAsia="zh-CN"/>
          <w14:textFill>
            <w14:solidFill>
              <w14:schemeClr w14:val="tx1"/>
            </w14:solidFill>
          </w14:textFill>
        </w:rPr>
        <w:t>规划和自然资源</w:t>
      </w:r>
      <w:r>
        <w:rPr>
          <w:rFonts w:hint="eastAsia" w:ascii="仿宋" w:hAnsi="仿宋" w:eastAsia="仿宋" w:cs="仿宋"/>
          <w:b w:val="0"/>
          <w:bCs w:val="0"/>
          <w:color w:val="000000" w:themeColor="text1"/>
          <w:sz w:val="32"/>
          <w:szCs w:val="32"/>
          <w14:textFill>
            <w14:solidFill>
              <w14:schemeClr w14:val="tx1"/>
            </w14:solidFill>
          </w14:textFill>
        </w:rPr>
        <w:t>、交通运输</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文化和旅游</w:t>
      </w:r>
      <w:r>
        <w:rPr>
          <w:rFonts w:hint="eastAsia" w:ascii="仿宋" w:hAnsi="仿宋" w:eastAsia="仿宋" w:cs="仿宋"/>
          <w:b w:val="0"/>
          <w:bCs w:val="0"/>
          <w:color w:val="000000" w:themeColor="text1"/>
          <w:sz w:val="32"/>
          <w:szCs w:val="32"/>
          <w:lang w:eastAsia="zh-CN"/>
          <w14:textFill>
            <w14:solidFill>
              <w14:schemeClr w14:val="tx1"/>
            </w14:solidFill>
          </w14:textFill>
        </w:rPr>
        <w:t>等行政</w:t>
      </w:r>
      <w:r>
        <w:rPr>
          <w:rFonts w:hint="eastAsia" w:ascii="仿宋" w:hAnsi="仿宋" w:eastAsia="仿宋" w:cs="仿宋"/>
          <w:b w:val="0"/>
          <w:bCs w:val="0"/>
          <w:color w:val="000000" w:themeColor="text1"/>
          <w:sz w:val="32"/>
          <w:szCs w:val="32"/>
          <w:lang w:val="en-US" w:eastAsia="zh-CN"/>
          <w14:textFill>
            <w14:solidFill>
              <w14:schemeClr w14:val="tx1"/>
            </w14:solidFill>
          </w14:textFill>
        </w:rPr>
        <w:t>主管</w:t>
      </w:r>
      <w:r>
        <w:rPr>
          <w:rFonts w:hint="eastAsia" w:ascii="仿宋" w:hAnsi="仿宋" w:eastAsia="仿宋" w:cs="仿宋"/>
          <w:b w:val="0"/>
          <w:bCs w:val="0"/>
          <w:color w:val="000000" w:themeColor="text1"/>
          <w:sz w:val="32"/>
          <w:szCs w:val="32"/>
          <w:lang w:eastAsia="zh-CN"/>
          <w14:textFill>
            <w14:solidFill>
              <w14:schemeClr w14:val="tx1"/>
            </w14:solidFill>
          </w14:textFill>
        </w:rPr>
        <w:t>部门</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依据</w:t>
      </w:r>
      <w:r>
        <w:rPr>
          <w:rFonts w:hint="eastAsia" w:ascii="仿宋" w:hAnsi="仿宋" w:eastAsia="仿宋" w:cs="仿宋"/>
          <w:b w:val="0"/>
          <w:bCs w:val="0"/>
          <w:color w:val="000000" w:themeColor="text1"/>
          <w:sz w:val="32"/>
          <w:szCs w:val="32"/>
          <w14:textFill>
            <w14:solidFill>
              <w14:schemeClr w14:val="tx1"/>
            </w14:solidFill>
          </w14:textFill>
        </w:rPr>
        <w:t>城市总体规划</w:t>
      </w:r>
      <w:r>
        <w:rPr>
          <w:rFonts w:hint="eastAsia" w:ascii="仿宋" w:hAnsi="仿宋" w:eastAsia="仿宋" w:cs="仿宋"/>
          <w:b w:val="0"/>
          <w:bCs w:val="0"/>
          <w:color w:val="000000" w:themeColor="text1"/>
          <w:sz w:val="32"/>
          <w:szCs w:val="32"/>
          <w:lang w:eastAsia="zh-CN"/>
          <w14:textFill>
            <w14:solidFill>
              <w14:schemeClr w14:val="tx1"/>
            </w14:solidFill>
          </w14:textFill>
        </w:rPr>
        <w:t>，组织</w:t>
      </w:r>
      <w:r>
        <w:rPr>
          <w:rFonts w:hint="eastAsia" w:ascii="仿宋" w:hAnsi="仿宋" w:eastAsia="仿宋" w:cs="仿宋"/>
          <w:b w:val="0"/>
          <w:bCs w:val="0"/>
          <w:color w:val="000000" w:themeColor="text1"/>
          <w:sz w:val="32"/>
          <w:szCs w:val="32"/>
          <w14:textFill>
            <w14:solidFill>
              <w14:schemeClr w14:val="tx1"/>
            </w14:solidFill>
          </w14:textFill>
        </w:rPr>
        <w:t>编制城市照明专项规划</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县（</w:t>
      </w:r>
      <w:r>
        <w:rPr>
          <w:rFonts w:hint="eastAsia" w:ascii="仿宋" w:hAnsi="仿宋" w:eastAsia="仿宋" w:cs="仿宋"/>
          <w:b w:val="0"/>
          <w:bCs w:val="0"/>
          <w:color w:val="000000" w:themeColor="text1"/>
          <w:sz w:val="32"/>
          <w:szCs w:val="32"/>
          <w:lang w:val="en-US" w:eastAsia="zh-CN"/>
          <w14:textFill>
            <w14:solidFill>
              <w14:schemeClr w14:val="tx1"/>
            </w14:solidFill>
          </w14:textFill>
        </w:rPr>
        <w:t>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城市</w:t>
      </w:r>
      <w:r>
        <w:rPr>
          <w:rFonts w:hint="eastAsia" w:ascii="仿宋" w:hAnsi="仿宋" w:eastAsia="仿宋" w:cs="仿宋"/>
          <w:b w:val="0"/>
          <w:bCs w:val="0"/>
          <w:color w:val="000000" w:themeColor="text1"/>
          <w:sz w:val="32"/>
          <w:szCs w:val="32"/>
          <w:lang w:val="en-US" w:eastAsia="zh-CN"/>
          <w14:textFill>
            <w14:solidFill>
              <w14:schemeClr w14:val="tx1"/>
            </w14:solidFill>
          </w14:textFill>
        </w:rPr>
        <w:t>照明行政</w:t>
      </w:r>
      <w:r>
        <w:rPr>
          <w:rFonts w:hint="eastAsia" w:ascii="仿宋" w:hAnsi="仿宋" w:eastAsia="仿宋" w:cs="仿宋"/>
          <w:b w:val="0"/>
          <w:bCs w:val="0"/>
          <w:color w:val="000000" w:themeColor="text1"/>
          <w:sz w:val="32"/>
          <w:szCs w:val="32"/>
          <w14:textFill>
            <w14:solidFill>
              <w14:schemeClr w14:val="tx1"/>
            </w14:solidFill>
          </w14:textFill>
        </w:rPr>
        <w:t>主管部门可以根据市城市照明专项规划,组织编制本行政区域内的区域城市照明规划、重要节点的城市照明规划。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第九条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功能照明区域设置</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下列区域应当设置功能照明设施：</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（一）</w:t>
      </w:r>
      <w:r>
        <w:rPr>
          <w:rFonts w:hint="eastAsia" w:ascii="仿宋" w:hAnsi="仿宋" w:eastAsia="仿宋" w:cs="仿宋"/>
          <w:b w:val="0"/>
          <w:bCs w:val="0"/>
          <w:color w:val="000000" w:themeColor="text1"/>
          <w:sz w:val="32"/>
          <w:szCs w:val="32"/>
          <w:lang w:eastAsia="zh-CN"/>
          <w14:textFill>
            <w14:solidFill>
              <w14:schemeClr w14:val="tx1"/>
            </w14:solidFill>
          </w14:textFill>
        </w:rPr>
        <w:t>城市主次干道、城市快速路、城市主要出入口沿线、桥梁、隧道、</w:t>
      </w:r>
      <w:r>
        <w:rPr>
          <w:rFonts w:hint="eastAsia" w:ascii="仿宋" w:hAnsi="仿宋" w:eastAsia="仿宋" w:cs="仿宋"/>
          <w:b w:val="0"/>
          <w:bCs w:val="0"/>
          <w:color w:val="000000" w:themeColor="text1"/>
          <w:sz w:val="32"/>
          <w:szCs w:val="32"/>
          <w:lang w:val="en-US" w:eastAsia="zh-CN"/>
          <w14:textFill>
            <w14:solidFill>
              <w14:schemeClr w14:val="tx1"/>
            </w14:solidFill>
          </w14:textFill>
        </w:rPr>
        <w:t>涵洞、</w:t>
      </w:r>
      <w:r>
        <w:rPr>
          <w:rFonts w:hint="eastAsia" w:ascii="仿宋" w:hAnsi="仿宋" w:eastAsia="仿宋" w:cs="仿宋"/>
          <w:b w:val="0"/>
          <w:bCs w:val="0"/>
          <w:color w:val="000000" w:themeColor="text1"/>
          <w:sz w:val="32"/>
          <w:szCs w:val="32"/>
          <w:lang w:eastAsia="zh-CN"/>
          <w14:textFill>
            <w14:solidFill>
              <w14:schemeClr w14:val="tx1"/>
            </w14:solidFill>
          </w14:textFill>
        </w:rPr>
        <w:t>行人过街设施、绿道；</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w:t>
      </w:r>
      <w:r>
        <w:rPr>
          <w:rFonts w:hint="eastAsia" w:ascii="仿宋" w:hAnsi="仿宋" w:eastAsia="仿宋" w:cs="仿宋"/>
          <w:b w:val="0"/>
          <w:bCs w:val="0"/>
          <w:color w:val="000000" w:themeColor="text1"/>
          <w:sz w:val="32"/>
          <w:szCs w:val="32"/>
          <w:lang w:eastAsia="zh-CN"/>
          <w14:textFill>
            <w14:solidFill>
              <w14:schemeClr w14:val="tx1"/>
            </w14:solidFill>
          </w14:textFill>
        </w:rPr>
        <w:t>住宅区、城中村、</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w:t>
      </w:r>
      <w:r>
        <w:rPr>
          <w:rFonts w:hint="eastAsia" w:ascii="仿宋" w:hAnsi="仿宋" w:eastAsia="仿宋" w:cs="仿宋"/>
          <w:b w:val="0"/>
          <w:bCs w:val="0"/>
          <w:color w:val="000000" w:themeColor="text1"/>
          <w:sz w:val="32"/>
          <w:szCs w:val="32"/>
          <w:lang w:eastAsia="zh-CN"/>
          <w14:textFill>
            <w14:solidFill>
              <w14:schemeClr w14:val="tx1"/>
            </w14:solidFill>
          </w14:textFill>
        </w:rPr>
        <w:t>广场、公园、公共绿地、名胜古迹、公共停车场；</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（三）其他无功能照明可能存在安全隐患的公共场所。</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景观照明区域设置</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下列区域应当设置景观照明设施：</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（一）重点道路、</w:t>
      </w:r>
      <w:r>
        <w:rPr>
          <w:rFonts w:hint="eastAsia" w:ascii="仿宋" w:hAnsi="仿宋" w:eastAsia="仿宋" w:cs="仿宋"/>
          <w:b w:val="0"/>
          <w:bCs w:val="0"/>
          <w:color w:val="000000" w:themeColor="text1"/>
          <w:sz w:val="32"/>
          <w:szCs w:val="32"/>
          <w14:textFill>
            <w14:solidFill>
              <w14:schemeClr w14:val="tx1"/>
            </w14:solidFill>
          </w14:textFill>
        </w:rPr>
        <w:t>城市快速路两侧高层建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构</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筑物；</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（二）主要景观河道、</w:t>
      </w:r>
      <w:r>
        <w:rPr>
          <w:rFonts w:hint="eastAsia" w:ascii="仿宋" w:hAnsi="仿宋" w:eastAsia="仿宋" w:cs="仿宋"/>
          <w:b w:val="0"/>
          <w:bCs w:val="0"/>
          <w:color w:val="000000" w:themeColor="text1"/>
          <w:sz w:val="32"/>
          <w:szCs w:val="32"/>
          <w:lang w:val="en-US" w:eastAsia="zh-CN"/>
          <w14:textFill>
            <w14:solidFill>
              <w14:schemeClr w14:val="tx1"/>
            </w14:solidFill>
          </w14:textFill>
        </w:rPr>
        <w:t>水库以及</w:t>
      </w:r>
      <w:r>
        <w:rPr>
          <w:rFonts w:hint="eastAsia" w:ascii="仿宋" w:hAnsi="仿宋" w:eastAsia="仿宋" w:cs="仿宋"/>
          <w:b w:val="0"/>
          <w:bCs w:val="0"/>
          <w:color w:val="000000" w:themeColor="text1"/>
          <w:sz w:val="32"/>
          <w:szCs w:val="32"/>
          <w:lang w:eastAsia="zh-CN"/>
          <w14:textFill>
            <w14:solidFill>
              <w14:schemeClr w14:val="tx1"/>
            </w14:solidFill>
          </w14:textFill>
        </w:rPr>
        <w:t>两岸</w:t>
      </w:r>
      <w:r>
        <w:rPr>
          <w:rFonts w:hint="eastAsia" w:ascii="仿宋" w:hAnsi="仿宋" w:eastAsia="仿宋" w:cs="仿宋"/>
          <w:b w:val="0"/>
          <w:bCs w:val="0"/>
          <w:color w:val="000000" w:themeColor="text1"/>
          <w:sz w:val="32"/>
          <w:szCs w:val="32"/>
          <w14:textFill>
            <w14:solidFill>
              <w14:schemeClr w14:val="tx1"/>
            </w14:solidFill>
          </w14:textFill>
        </w:rPr>
        <w:t>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构</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筑物；</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（三）城市广场、公园绿地、体育场（馆）、博物馆、特色商业街（区）、机场、车站、码头、桥梁、高架桥以及其他大型公共场所；</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（四）重点文物保护单位、旅游景点以及历史风貌建筑；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（五）其他需要设置景观照明设施的区域。</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第十</w:t>
      </w: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照明建设导则</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城市照明设施的设置应当遵守以下城市照明建设导则要求：</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符合光污染控制标准，与周围环境相协调；</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符合市容、交通和消防安全要求；</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符合建（构）筑物原有风格和结构安全要求，具有历史纪念意义的建（构）筑物，严禁使用大型泛光灯，避免破坏夜景整体景观；</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城市功能照明设施的灯光不得直射居住建筑物窗户，因特殊情况与居住建筑物窗户距离较近的，应当采取遮光措施；</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鼓励</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城市主要道路、景观河道两侧的单位和住宅</w:t>
      </w:r>
      <w:r>
        <w:rPr>
          <w:rFonts w:hint="eastAsia" w:ascii="仿宋" w:hAnsi="仿宋" w:eastAsia="仿宋" w:cs="仿宋"/>
          <w:b w:val="0"/>
          <w:bCs w:val="0"/>
          <w:color w:val="000000" w:themeColor="text1"/>
          <w:sz w:val="32"/>
          <w:szCs w:val="32"/>
          <w:lang w:eastAsia="zh-CN"/>
          <w14:textFill>
            <w14:solidFill>
              <w14:schemeClr w14:val="tx1"/>
            </w14:solidFill>
          </w14:textFill>
        </w:rPr>
        <w:t>实施内透照明，</w:t>
      </w:r>
      <w:r>
        <w:rPr>
          <w:rFonts w:hint="eastAsia" w:ascii="仿宋" w:hAnsi="仿宋" w:eastAsia="仿宋" w:cs="仿宋"/>
          <w:b w:val="0"/>
          <w:bCs w:val="0"/>
          <w:color w:val="000000" w:themeColor="text1"/>
          <w:sz w:val="32"/>
          <w:szCs w:val="32"/>
          <w:lang w:val="en-US" w:eastAsia="zh-CN"/>
          <w14:textFill>
            <w14:solidFill>
              <w14:schemeClr w14:val="tx1"/>
            </w14:solidFill>
          </w14:textFill>
        </w:rPr>
        <w:t>城</w:t>
      </w:r>
      <w:r>
        <w:rPr>
          <w:rFonts w:hint="eastAsia" w:ascii="仿宋" w:hAnsi="仿宋" w:eastAsia="仿宋" w:cs="仿宋"/>
          <w:b w:val="0"/>
          <w:bCs w:val="0"/>
          <w:color w:val="000000" w:themeColor="text1"/>
          <w:sz w:val="32"/>
          <w:szCs w:val="32"/>
          <w:lang w:eastAsia="zh-CN"/>
          <w14:textFill>
            <w14:solidFill>
              <w14:schemeClr w14:val="tx1"/>
            </w14:solidFill>
          </w14:textFill>
        </w:rPr>
        <w:t>市照明规划规定应当设置内透照明</w:t>
      </w:r>
      <w:r>
        <w:rPr>
          <w:rFonts w:hint="eastAsia" w:ascii="仿宋" w:hAnsi="仿宋" w:eastAsia="仿宋" w:cs="仿宋"/>
          <w:b w:val="0"/>
          <w:bCs w:val="0"/>
          <w:color w:val="000000" w:themeColor="text1"/>
          <w:sz w:val="32"/>
          <w:szCs w:val="32"/>
          <w:lang w:val="en-US" w:eastAsia="zh-CN"/>
          <w14:textFill>
            <w14:solidFill>
              <w14:schemeClr w14:val="tx1"/>
            </w14:solidFill>
          </w14:textFill>
        </w:rPr>
        <w:t>的</w:t>
      </w:r>
      <w:r>
        <w:rPr>
          <w:rFonts w:hint="eastAsia" w:ascii="仿宋" w:hAnsi="仿宋" w:eastAsia="仿宋" w:cs="仿宋"/>
          <w:b w:val="0"/>
          <w:bCs w:val="0"/>
          <w:color w:val="000000" w:themeColor="text1"/>
          <w:sz w:val="32"/>
          <w:szCs w:val="32"/>
          <w:lang w:eastAsia="zh-CN"/>
          <w14:textFill>
            <w14:solidFill>
              <w14:schemeClr w14:val="tx1"/>
            </w14:solidFill>
          </w14:textFill>
        </w:rPr>
        <w:t>区域，建筑物应当按照要求合理</w:t>
      </w:r>
      <w:r>
        <w:rPr>
          <w:rFonts w:hint="eastAsia" w:ascii="仿宋" w:hAnsi="仿宋" w:eastAsia="仿宋" w:cs="仿宋"/>
          <w:b w:val="0"/>
          <w:bCs w:val="0"/>
          <w:color w:val="000000" w:themeColor="text1"/>
          <w:sz w:val="32"/>
          <w:szCs w:val="32"/>
          <w:lang w:val="en-US" w:eastAsia="zh-CN"/>
          <w14:textFill>
            <w14:solidFill>
              <w14:schemeClr w14:val="tx1"/>
            </w14:solidFill>
          </w14:textFill>
        </w:rPr>
        <w:t>设置</w:t>
      </w:r>
      <w:r>
        <w:rPr>
          <w:rFonts w:hint="eastAsia" w:ascii="仿宋" w:hAnsi="仿宋" w:eastAsia="仿宋" w:cs="仿宋"/>
          <w:b w:val="0"/>
          <w:bCs w:val="0"/>
          <w:color w:val="000000" w:themeColor="text1"/>
          <w:sz w:val="32"/>
          <w:szCs w:val="32"/>
          <w:lang w:eastAsia="zh-CN"/>
          <w14:textFill>
            <w14:solidFill>
              <w14:schemeClr w14:val="tx1"/>
            </w14:solidFill>
          </w14:textFill>
        </w:rPr>
        <w:t>内透亮灯。</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第十二条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建设责任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城市照明设施由下列单位或者个人负责建设：</w:t>
      </w:r>
      <w:r>
        <w:rPr>
          <w:rFonts w:hint="eastAsia" w:ascii="仿宋" w:hAnsi="仿宋" w:eastAsia="仿宋" w:cs="仿宋"/>
          <w:b w:val="0"/>
          <w:bCs w:val="0"/>
          <w:color w:val="000000" w:themeColor="text1"/>
          <w:sz w:val="32"/>
          <w:szCs w:val="32"/>
          <w14:textFill>
            <w14:solidFill>
              <w14:schemeClr w14:val="tx1"/>
            </w14:solidFill>
          </w14:textFill>
        </w:rPr>
        <w:br w:type="textWrapping"/>
      </w:r>
      <w:r>
        <w:rPr>
          <w:rFonts w:hint="eastAsia" w:ascii="仿宋" w:hAnsi="仿宋" w:eastAsia="仿宋" w:cs="仿宋"/>
          <w:b w:val="0"/>
          <w:bCs w:val="0"/>
          <w:color w:val="000000" w:themeColor="text1"/>
          <w:sz w:val="32"/>
          <w:szCs w:val="32"/>
          <w14:textFill>
            <w14:solidFill>
              <w14:schemeClr w14:val="tx1"/>
            </w14:solidFill>
          </w14:textFill>
        </w:rPr>
        <w:t>　　与主体工程配套建设的城市照明设施，由主体工程的建设单位负责建设；增设城市照明设施的，由所有人或者管理人负责建设。</w:t>
      </w:r>
      <w:r>
        <w:rPr>
          <w:rFonts w:hint="eastAsia" w:ascii="仿宋" w:hAnsi="仿宋" w:eastAsia="仿宋" w:cs="仿宋"/>
          <w:b w:val="0"/>
          <w:bCs w:val="0"/>
          <w:color w:val="000000" w:themeColor="text1"/>
          <w:sz w:val="32"/>
          <w:szCs w:val="32"/>
          <w14:textFill>
            <w14:solidFill>
              <w14:schemeClr w14:val="tx1"/>
            </w14:solidFill>
          </w14:textFill>
        </w:rPr>
        <w:br w:type="textWrapping"/>
      </w: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val="0"/>
          <w:bCs w:val="0"/>
          <w:color w:val="000000" w:themeColor="text1"/>
          <w:sz w:val="32"/>
          <w:szCs w:val="32"/>
          <w:lang w:val="en-US" w:eastAsia="zh-CN"/>
          <w14:textFill>
            <w14:solidFill>
              <w14:schemeClr w14:val="tx1"/>
            </w14:solidFill>
          </w14:textFill>
        </w:rPr>
        <w:t>未配套建设的城市功能照明设施的城市道路，城市照明行政主管部门应当督促道路产权单位逐步配套完善。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第十</w:t>
      </w: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lang w:eastAsia="zh-CN"/>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新改扩建标准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新建、改建、扩建城市道路项目的功能照明设施装灯率应当达到100%。</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新建、改建、扩建城市照明设施，应当根据城市照明专项规划确定各类区域照明的亮度、功率密度，并符合国家和本省现行技术规范以及有关工程建设标准。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新建、改建、扩建城市道路照明设施的管线应当按本市照明架空线路标准下地，并采取埋设地理标识等保护措施。现有道路照明管线未下地的，应当按照规划逐步实施下地改造。</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县（区）人民政府应当制定照明设施年度建设计划，并组织实施。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600" w:lineRule="exact"/>
        <w:ind w:firstLine="48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资质要求</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从事城市照明工程勘察、设计、施工、监理和</w:t>
      </w:r>
      <w:r>
        <w:rPr>
          <w:rFonts w:hint="eastAsia" w:ascii="仿宋" w:hAnsi="仿宋" w:eastAsia="仿宋" w:cs="仿宋"/>
          <w:b w:val="0"/>
          <w:bCs w:val="0"/>
          <w:color w:val="000000" w:themeColor="text1"/>
          <w:sz w:val="32"/>
          <w:szCs w:val="32"/>
          <w:lang w:val="en-US" w:eastAsia="zh-CN"/>
          <w14:textFill>
            <w14:solidFill>
              <w14:schemeClr w14:val="tx1"/>
            </w14:solidFill>
          </w14:textFill>
        </w:rPr>
        <w:t>质量检测</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的单位应当具备相应的资质；相关专业技术人员应当依法取得相应的执业资格。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第十五条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建设要求</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与主体工程配套建设的功能照明设施和重点区域的景观照明设施，应当</w:t>
      </w:r>
      <w:r>
        <w:rPr>
          <w:rFonts w:hint="eastAsia" w:ascii="仿宋" w:hAnsi="仿宋" w:eastAsia="仿宋" w:cs="仿宋"/>
          <w:b w:val="0"/>
          <w:bCs w:val="0"/>
          <w:color w:val="000000" w:themeColor="text1"/>
          <w:sz w:val="32"/>
          <w:szCs w:val="32"/>
          <w:lang w:val="en-US" w:eastAsia="zh-CN"/>
          <w14:textFill>
            <w14:solidFill>
              <w14:schemeClr w14:val="tx1"/>
            </w14:solidFill>
          </w14:textFill>
        </w:rPr>
        <w:t>按照城市照明规划建设，与主体工程同步设计、施工、验收和投入使用。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51"/>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第十</w:t>
      </w: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lang w:eastAsia="zh-CN"/>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竣工验收</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城市照明设施未经验收或者验收不合格的，不得交付使用。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51"/>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未移交的城市照明设施，建设单位和产权单位应当及时维护或者按照规定要求改造。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第十七条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移交条件</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新建城市照明设施需要移交城市照明管理机构进行运行维护的，应当符合下列条件：</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（一）符合城市照明专项规划和《城市道路照明设计标准》、《城市道路照明施工及验收规范》等技术规范要求；</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（二）具备纳入城市照明智能控制系统的技术和安全条件；</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（三）提供完整的竣工验收备案资料；</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（四）已结清电费并承诺完成过户等用电变更手续；</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（五）市、县（区）人民政府规定的其他条件和范围。</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符合上述条件的，有关城市照明管理机构应当予以接收。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第十八条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移交后期</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城市道路功能照明设施严格执行质量保修制度。设施移交后在保修期内，建设单位应当承担质量保修责任，对出现质量问题的设施进行维修。</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b w:val="0"/>
          <w:bCs w:val="0"/>
          <w:color w:val="000000" w:themeColor="text1"/>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第三章 管理与维护</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第十九条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运维分工</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城市功能照明设施和景观照明设施的运行和维护按以下规定实行：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lang w:val="en-US" w:eastAsia="zh-CN"/>
          <w14:textFill>
            <w14:solidFill>
              <w14:schemeClr w14:val="tx1"/>
            </w14:solidFill>
          </w14:textFill>
        </w:rPr>
        <w:t>）属于政府投资建设和非政府投资建设但已移交城市照明行政主管部门的，由城市照明管理机构负责；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eastAsia" w:ascii="仿宋" w:hAnsi="仿宋" w:eastAsia="仿宋" w:cs="仿宋"/>
          <w:b w:val="0"/>
          <w:bCs w:val="0"/>
          <w:color w:val="000000" w:themeColor="text1"/>
          <w:sz w:val="32"/>
          <w:szCs w:val="32"/>
          <w:lang w:val="en-US" w:eastAsia="zh-CN"/>
          <w14:textFill>
            <w14:solidFill>
              <w14:schemeClr w14:val="tx1"/>
            </w14:solidFill>
          </w14:textFill>
        </w:rPr>
        <w:t>）广场、公园、河道、游园、公共绿地等范围内的照明设施，由其行政主管部门或者管理机构负责；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w:t>
      </w:r>
      <w:r>
        <w:rPr>
          <w:rFonts w:hint="eastAsia" w:ascii="仿宋" w:hAnsi="仿宋" w:eastAsia="仿宋" w:cs="仿宋"/>
          <w:b w:val="0"/>
          <w:bCs w:val="0"/>
          <w:color w:val="000000" w:themeColor="text1"/>
          <w:sz w:val="32"/>
          <w:szCs w:val="32"/>
          <w:lang w:val="en-US" w:eastAsia="zh-CN"/>
          <w14:textFill>
            <w14:solidFill>
              <w14:schemeClr w14:val="tx1"/>
            </w14:solidFill>
          </w14:textFill>
        </w:rPr>
        <w:t>）住宅小区内属于业主共有的照明设施的维护，按照共用设施设备管理相关规定执行。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管理职责</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城市照明管理机构应当履行下列职责：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（一）建立健全城市照明信息统计系统，完善城市照明设施的基本信息和统计制度；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（二）按照国家技术标准和规范对城市功能照明和景观照明设施进行日常运行和维护，主次干道、支路、快速路照明设施亮灯率应当不低于98%，确保城市照明设施保持良好的运行状态；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（三）定期巡查、排查故障隐患，及时维修、更换照明设施，清理或者拆除废弃的照明设施；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（四）定期对照明灯具进行清洁，改善照明效果；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（五）受理对城市照明设施管理和维护的报修，依法查处破坏城市照明设施的行为；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（六）法律、法规规定的其他职责。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第二十一条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启闭管理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城市道路功能照明设施应当按照规定的时间开启和关闭，并根据季节和天气因素及时调整。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重点区域的景观照明设施应当按照规定时间开启和关闭。因特殊原因需临时开启城市景观设施的，开启时间按照城市照明管理机构通知执行。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电力供应紧张期间，根据市人民政府的规定确定开启、关闭时间。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第二十二条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迁拆改管理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任何单位或者个人不得擅自迁移、拆除、改动城市道路照明设施或者在城市道路照明管线上方开挖。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确需迁移、拆除、改动城市道路照明设施或者在城市道路照明管线上方开挖的，建设单位应当制定临时城市道路照明方案和施工安全防护方案，并与城市照明管理机构签订保护协议，明确双方责任后方可施工。工程竣工时，建设单位应当同时恢复城市道路照明设施；不能恢复的，应当新建城市道路照明设施并办理移交接管手续。</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因应急抢险对城市道路照明设施造成损坏的，应急抢险单位应当及时通知城市照明管理机构，并在应急抢险结束后5日内补办手续并承担修复费用。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第二十三条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事故处理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因交通事故和其他原因损坏城市照明设施的有关责任人应当及时报警，不得逃避和离开现场。公共交通管理部门应当及时将事故有关情况通知城市照明管理机构，并协助处理事故造成的损失。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第二十四条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应急处理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城市照明管理机构应当制定城市道路照明设施突发事故应急预案，并组织演练，确保紧急情况下城市道路照明设施的正常、安全运行。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城市照明设施维护专用车辆执行紧急抢修任务时，公安、交通等有关部门和单位应当提供便利。</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第二十五条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接电管理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禁止</w:t>
      </w:r>
      <w:r>
        <w:rPr>
          <w:rFonts w:hint="default" w:ascii="仿宋" w:hAnsi="仿宋" w:eastAsia="仿宋" w:cs="仿宋"/>
          <w:b w:val="0"/>
          <w:bCs w:val="0"/>
          <w:color w:val="000000" w:themeColor="text1"/>
          <w:sz w:val="32"/>
          <w:szCs w:val="32"/>
          <w:lang w:val="en-US" w:eastAsia="zh-CN"/>
          <w14:textFill>
            <w14:solidFill>
              <w14:schemeClr w14:val="tx1"/>
            </w14:solidFill>
          </w14:textFill>
        </w:rPr>
        <w:t>在城市功能照明设施上接用电源</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公用或者公益设施确需接电的，设置人应当向城市照明管理机构提出申请，双方签订协议并办理用电手续后方可用电，设置人对外接用电安全负责。因设置物造成城市照明设施损坏的，设置人应当承担修复费用。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第二十六条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临时装饰管理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禁止在城市道路照明设施上设置广告或者装饰物。</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确需在城市道路照明设施上设置广告或者装饰物的，应当事先经城市照明管理机构同意，举办方和设置方对设置物的使用安全负责。</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从事前款活动的单位和个人，不得损坏城市功能照明设施、妨碍设施运行安全、影响市容整洁和道路交通安全，并应当在城市照明管理机构规定的时间内恢复设施原状。因设置物造成照明设施损坏，举办方和设置方应当承担修复费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第二十七条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绿化管理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绿化养护责任人应当按照相关标准和技术规范要求及时修剪树枝，避免树木生长影响城市照明设施安全运行和照明效果。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行道树枝叶距灯杆、灯具的安全距离应当不小于一米；新栽种的绿化乔木与路灯不宜同排，间距应当不小于三米；高杆灯（高度二十米以上路灯）灯盘半径五米范围内，禁止新栽种乔木。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因暴雨、地震等不可抗力因素危及城市道路照明设施安全运行的，城市照明管理机构可以采取紧急措施先行修剪、砍伐树木，并及时报告城市绿化行政主管部门。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第二十八条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禁止行为</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禁止任何单位或者个人从事下列影响城市照明设施安全和运行的行为：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（一）在城市照明设施上刻划、涂污、张贴、晾晒；</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（二）在城市照明设施周边一米以内种植、挖坑、堆放物料、倾倒腐蚀性物品和液体；</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（三）擅自在城市照明设施上架设管线或者安置其他设施；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（四）依附城市照明设施搭建建筑物、构筑物；</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（五）擅自操作城市照明开关设施或者改变其运行方式；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（六）其他可能影响城市照明设施正常安全运行的行为。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第四章 节能与环保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第二十九条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优先原则</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城市照明行政主管部门当依据城市照明专项规划开展能源节约工作，优先发展和建设功能照明，</w:t>
      </w:r>
      <w:r>
        <w:rPr>
          <w:rFonts w:hint="default" w:ascii="仿宋" w:hAnsi="仿宋" w:eastAsia="仿宋" w:cs="仿宋"/>
          <w:b w:val="0"/>
          <w:bCs w:val="0"/>
          <w:color w:val="000000" w:themeColor="text1"/>
          <w:sz w:val="32"/>
          <w:szCs w:val="32"/>
          <w:lang w:val="en-US" w:eastAsia="zh-CN"/>
          <w14:textFill>
            <w14:solidFill>
              <w14:schemeClr w14:val="tx1"/>
            </w14:solidFill>
          </w14:textFill>
        </w:rPr>
        <w:t>严格控制城市景观照明的范围、亮度和能耗密度</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节能环保产品推广</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支持推广使用节能环保的照明新技术、新产品、新设备，及时淘汰高耗低效的照明产品，开展绿色节能环保智慧照明试点活动。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第三十一条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智能控制节电</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城市照明管理机构</w:t>
      </w:r>
      <w:r>
        <w:rPr>
          <w:rFonts w:hint="eastAsia" w:ascii="仿宋" w:hAnsi="仿宋" w:eastAsia="仿宋" w:cs="仿宋"/>
          <w:b w:val="0"/>
          <w:bCs w:val="0"/>
          <w:color w:val="000000" w:themeColor="text1"/>
          <w:sz w:val="32"/>
          <w:szCs w:val="32"/>
          <w14:textFill>
            <w14:solidFill>
              <w14:schemeClr w14:val="tx1"/>
            </w14:solidFill>
          </w14:textFill>
        </w:rPr>
        <w:t>应当建</w:t>
      </w:r>
      <w:r>
        <w:rPr>
          <w:rFonts w:hint="eastAsia" w:ascii="仿宋" w:hAnsi="仿宋" w:eastAsia="仿宋" w:cs="仿宋"/>
          <w:b w:val="0"/>
          <w:bCs w:val="0"/>
          <w:color w:val="000000" w:themeColor="text1"/>
          <w:sz w:val="32"/>
          <w:szCs w:val="32"/>
          <w:lang w:val="en-US" w:eastAsia="zh-CN"/>
          <w14:textFill>
            <w14:solidFill>
              <w14:schemeClr w14:val="tx1"/>
            </w14:solidFill>
          </w14:textFill>
        </w:rPr>
        <w:t>立本级</w:t>
      </w:r>
      <w:r>
        <w:rPr>
          <w:rFonts w:hint="eastAsia" w:ascii="仿宋" w:hAnsi="仿宋" w:eastAsia="仿宋" w:cs="仿宋"/>
          <w:b w:val="0"/>
          <w:bCs w:val="0"/>
          <w:color w:val="000000" w:themeColor="text1"/>
          <w:sz w:val="32"/>
          <w:szCs w:val="32"/>
          <w14:textFill>
            <w14:solidFill>
              <w14:schemeClr w14:val="tx1"/>
            </w14:solidFill>
          </w14:textFill>
        </w:rPr>
        <w:t>城市照明智能控制系统，对城市照明设施进行智能化监控和管理，实现政府投资的城市照明设施的科学合理开关灯和亮度控制。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第三十二条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节能过程控制</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建设和维护城市照明设施，应当优先采用高效节能产品和节能控制技术，建立和完善分区、分时、分级的照明节能控制措施。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第三十三条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节能教育和培训</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城市照明主管部门应当开展城市照明节能宣传、教育、培训、智慧路灯等工作，提高城市照明节能水平。 </w:t>
      </w:r>
      <w:r>
        <w:rPr>
          <w:rFonts w:hint="default" w:ascii="仿宋" w:hAnsi="仿宋" w:eastAsia="仿宋" w:cs="仿宋"/>
          <w:b w:val="0"/>
          <w:bCs w:val="0"/>
          <w:color w:val="000000" w:themeColor="text1"/>
          <w:sz w:val="32"/>
          <w:szCs w:val="32"/>
          <w:lang w:val="en-US" w:eastAsia="zh-CN"/>
          <w14:textFill>
            <w14:solidFill>
              <w14:schemeClr w14:val="tx1"/>
            </w14:solidFill>
          </w14:textFill>
        </w:rPr>
        <w:br w:type="textWrapping"/>
      </w:r>
      <w:r>
        <w:rPr>
          <w:rFonts w:hint="default" w:ascii="仿宋" w:hAnsi="仿宋" w:eastAsia="仿宋" w:cs="仿宋"/>
          <w:b w:val="0"/>
          <w:bCs w:val="0"/>
          <w:color w:val="000000" w:themeColor="text1"/>
          <w:sz w:val="32"/>
          <w:szCs w:val="32"/>
          <w:lang w:val="en-US" w:eastAsia="zh-CN"/>
          <w14:textFill>
            <w14:solidFill>
              <w14:schemeClr w14:val="tx1"/>
            </w14:solidFill>
          </w14:textFill>
        </w:rPr>
        <w:t>　　</w:t>
      </w: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第三十四条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节能考核</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城市照明行政主管部门</w:t>
      </w:r>
      <w:r>
        <w:rPr>
          <w:rFonts w:hint="default" w:ascii="仿宋" w:hAnsi="仿宋" w:eastAsia="仿宋" w:cs="仿宋"/>
          <w:b w:val="0"/>
          <w:bCs w:val="0"/>
          <w:color w:val="000000" w:themeColor="text1"/>
          <w:sz w:val="32"/>
          <w:szCs w:val="32"/>
          <w:lang w:val="en-US" w:eastAsia="zh-CN"/>
          <w14:textFill>
            <w14:solidFill>
              <w14:schemeClr w14:val="tx1"/>
            </w14:solidFill>
          </w14:textFill>
        </w:rPr>
        <w:t>应当</w:t>
      </w:r>
      <w:r>
        <w:rPr>
          <w:rFonts w:hint="eastAsia" w:ascii="仿宋" w:hAnsi="仿宋" w:eastAsia="仿宋" w:cs="仿宋"/>
          <w:b w:val="0"/>
          <w:bCs w:val="0"/>
          <w:color w:val="000000" w:themeColor="text1"/>
          <w:sz w:val="32"/>
          <w:szCs w:val="32"/>
          <w:lang w:val="en-US" w:eastAsia="zh-CN"/>
          <w14:textFill>
            <w14:solidFill>
              <w14:schemeClr w14:val="tx1"/>
            </w14:solidFill>
          </w14:textFill>
        </w:rPr>
        <w:t>建立城市照明能耗考核制度，定期对城市照明能耗等情况进行检查和考核。</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第三十五条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节能管理</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任何单位和个人不得在城市道路照明中使用多光源无控光器的低效灯具；不得在城市景观照明中有过度照明、制造光污染等超能耗标准的行为。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第五章 法律责任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第三十六条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法律责任衔接</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违反本条例规定的行为，法律、行政法规、省级地方性法规已有法律责任规定的，从其规定。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第三十七条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违反同步原则的法律责任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违反本条例第十五条规定，城市照明设施未与主体工程同步设计、施工、验收和投入使用的，由城市照明行政主管部门责令改正，并对建设单位处以一万元以上三万元以下罚款，法律、法规另有规定的除外。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第三十八条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未验收合格法律责任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第十六条规定，城市照明设施未经验收合格或者验收不合格投入使用的，处以工程造价2%以下罚款。逾期不改正的，处以二万元至十万元以下罚款；不按规定进行竣工验收备案的，由相关管理部门依法处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第三十九条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擅自迁拆改照明设施法律责任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违反本</w:t>
      </w:r>
      <w:r>
        <w:rPr>
          <w:rFonts w:hint="eastAsia" w:ascii="仿宋" w:hAnsi="仿宋" w:eastAsia="仿宋" w:cs="仿宋"/>
          <w:b w:val="0"/>
          <w:bCs w:val="0"/>
          <w:color w:val="000000" w:themeColor="text1"/>
          <w:sz w:val="32"/>
          <w:szCs w:val="32"/>
          <w:lang w:val="en-US" w:eastAsia="zh-CN"/>
          <w14:textFill>
            <w14:solidFill>
              <w14:schemeClr w14:val="tx1"/>
            </w14:solidFill>
          </w14:textFill>
        </w:rPr>
        <w:t>条例</w:t>
      </w:r>
      <w:r>
        <w:rPr>
          <w:rFonts w:hint="default" w:ascii="仿宋" w:hAnsi="仿宋" w:eastAsia="仿宋" w:cs="仿宋"/>
          <w:b w:val="0"/>
          <w:bCs w:val="0"/>
          <w:color w:val="000000" w:themeColor="text1"/>
          <w:sz w:val="32"/>
          <w:szCs w:val="32"/>
          <w:lang w:val="en-US" w:eastAsia="zh-CN"/>
          <w14:textFill>
            <w14:solidFill>
              <w14:schemeClr w14:val="tx1"/>
            </w14:solidFill>
          </w14:textFill>
        </w:rPr>
        <w:t>第二十</w:t>
      </w:r>
      <w:r>
        <w:rPr>
          <w:rFonts w:hint="eastAsia" w:ascii="仿宋" w:hAnsi="仿宋" w:eastAsia="仿宋" w:cs="仿宋"/>
          <w:b w:val="0"/>
          <w:bCs w:val="0"/>
          <w:color w:val="000000" w:themeColor="text1"/>
          <w:sz w:val="32"/>
          <w:szCs w:val="32"/>
          <w:lang w:val="en-US" w:eastAsia="zh-CN"/>
          <w14:textFill>
            <w14:solidFill>
              <w14:schemeClr w14:val="tx1"/>
            </w14:solidFill>
          </w14:textFill>
        </w:rPr>
        <w:t>二</w:t>
      </w:r>
      <w:r>
        <w:rPr>
          <w:rFonts w:hint="default" w:ascii="仿宋" w:hAnsi="仿宋" w:eastAsia="仿宋" w:cs="仿宋"/>
          <w:b w:val="0"/>
          <w:bCs w:val="0"/>
          <w:color w:val="000000" w:themeColor="text1"/>
          <w:sz w:val="32"/>
          <w:szCs w:val="32"/>
          <w:lang w:val="en-US" w:eastAsia="zh-CN"/>
          <w14:textFill>
            <w14:solidFill>
              <w14:schemeClr w14:val="tx1"/>
            </w14:solidFill>
          </w14:textFill>
        </w:rPr>
        <w:t>条规定，擅自迁移、拆除</w:t>
      </w:r>
      <w:r>
        <w:rPr>
          <w:rFonts w:hint="eastAsia" w:ascii="仿宋" w:hAnsi="仿宋" w:eastAsia="仿宋" w:cs="仿宋"/>
          <w:b w:val="0"/>
          <w:bCs w:val="0"/>
          <w:color w:val="000000" w:themeColor="text1"/>
          <w:sz w:val="32"/>
          <w:szCs w:val="32"/>
          <w:lang w:val="en-US" w:eastAsia="zh-CN"/>
          <w14:textFill>
            <w14:solidFill>
              <w14:schemeClr w14:val="tx1"/>
            </w14:solidFill>
          </w14:textFill>
        </w:rPr>
        <w:t>、改动</w:t>
      </w:r>
      <w:r>
        <w:rPr>
          <w:rFonts w:hint="default" w:ascii="仿宋" w:hAnsi="仿宋" w:eastAsia="仿宋" w:cs="仿宋"/>
          <w:b w:val="0"/>
          <w:bCs w:val="0"/>
          <w:color w:val="000000" w:themeColor="text1"/>
          <w:sz w:val="32"/>
          <w:szCs w:val="32"/>
          <w:lang w:val="en-US" w:eastAsia="zh-CN"/>
          <w14:textFill>
            <w14:solidFill>
              <w14:schemeClr w14:val="tx1"/>
            </w14:solidFill>
          </w14:textFill>
        </w:rPr>
        <w:t>城市照明设施的</w:t>
      </w:r>
      <w:r>
        <w:rPr>
          <w:rFonts w:hint="eastAsia" w:ascii="仿宋" w:hAnsi="仿宋" w:eastAsia="仿宋" w:cs="仿宋"/>
          <w:b w:val="0"/>
          <w:bCs w:val="0"/>
          <w:color w:val="000000" w:themeColor="text1"/>
          <w:sz w:val="32"/>
          <w:szCs w:val="32"/>
          <w:lang w:val="en-US" w:eastAsia="zh-CN"/>
          <w14:textFill>
            <w14:solidFill>
              <w14:schemeClr w14:val="tx1"/>
            </w14:solidFill>
          </w14:textFill>
        </w:rPr>
        <w:t>或者在城市照明管线上方开挖的</w:t>
      </w:r>
      <w:r>
        <w:rPr>
          <w:rFonts w:hint="default" w:ascii="仿宋" w:hAnsi="仿宋" w:eastAsia="仿宋" w:cs="仿宋"/>
          <w:b w:val="0"/>
          <w:bCs w:val="0"/>
          <w:color w:val="000000" w:themeColor="text1"/>
          <w:sz w:val="32"/>
          <w:szCs w:val="32"/>
          <w:lang w:val="en-US" w:eastAsia="zh-CN"/>
          <w14:textFill>
            <w14:solidFill>
              <w14:schemeClr w14:val="tx1"/>
            </w14:solidFill>
          </w14:textFill>
        </w:rPr>
        <w:t>，责令限期改正，</w:t>
      </w:r>
      <w:r>
        <w:rPr>
          <w:rFonts w:hint="eastAsia" w:ascii="仿宋" w:hAnsi="仿宋" w:eastAsia="仿宋" w:cs="仿宋"/>
          <w:b w:val="0"/>
          <w:bCs w:val="0"/>
          <w:color w:val="000000" w:themeColor="text1"/>
          <w:sz w:val="32"/>
          <w:szCs w:val="32"/>
          <w:lang w:val="en-US" w:eastAsia="zh-CN"/>
          <w14:textFill>
            <w14:solidFill>
              <w14:schemeClr w14:val="tx1"/>
            </w14:solidFill>
          </w14:textFill>
        </w:rPr>
        <w:t>对个人</w:t>
      </w:r>
      <w:r>
        <w:rPr>
          <w:rFonts w:hint="default" w:ascii="仿宋" w:hAnsi="仿宋" w:eastAsia="仿宋" w:cs="仿宋"/>
          <w:b w:val="0"/>
          <w:bCs w:val="0"/>
          <w:color w:val="000000" w:themeColor="text1"/>
          <w:sz w:val="32"/>
          <w:szCs w:val="32"/>
          <w:lang w:val="en-US" w:eastAsia="zh-CN"/>
          <w14:textFill>
            <w14:solidFill>
              <w14:schemeClr w14:val="tx1"/>
            </w14:solidFill>
          </w14:textFill>
        </w:rPr>
        <w:t>处</w:t>
      </w:r>
      <w:r>
        <w:rPr>
          <w:rFonts w:hint="eastAsia" w:ascii="仿宋" w:hAnsi="仿宋" w:eastAsia="仿宋" w:cs="仿宋"/>
          <w:b w:val="0"/>
          <w:bCs w:val="0"/>
          <w:color w:val="000000" w:themeColor="text1"/>
          <w:sz w:val="32"/>
          <w:szCs w:val="32"/>
          <w:lang w:val="en-US" w:eastAsia="zh-CN"/>
          <w14:textFill>
            <w14:solidFill>
              <w14:schemeClr w14:val="tx1"/>
            </w14:solidFill>
          </w14:textFill>
        </w:rPr>
        <w:t>五百元</w:t>
      </w:r>
      <w:r>
        <w:rPr>
          <w:rFonts w:hint="default" w:ascii="仿宋" w:hAnsi="仿宋" w:eastAsia="仿宋" w:cs="仿宋"/>
          <w:b w:val="0"/>
          <w:bCs w:val="0"/>
          <w:color w:val="000000" w:themeColor="text1"/>
          <w:sz w:val="32"/>
          <w:szCs w:val="32"/>
          <w:lang w:val="en-US" w:eastAsia="zh-CN"/>
          <w14:textFill>
            <w14:solidFill>
              <w14:schemeClr w14:val="tx1"/>
            </w14:solidFill>
          </w14:textFill>
        </w:rPr>
        <w:t>以上</w:t>
      </w:r>
      <w:r>
        <w:rPr>
          <w:rFonts w:hint="eastAsia" w:ascii="仿宋" w:hAnsi="仿宋" w:eastAsia="仿宋" w:cs="仿宋"/>
          <w:b w:val="0"/>
          <w:bCs w:val="0"/>
          <w:color w:val="000000" w:themeColor="text1"/>
          <w:sz w:val="32"/>
          <w:szCs w:val="32"/>
          <w:lang w:val="en-US" w:eastAsia="zh-CN"/>
          <w14:textFill>
            <w14:solidFill>
              <w14:schemeClr w14:val="tx1"/>
            </w14:solidFill>
          </w14:textFill>
        </w:rPr>
        <w:t>一</w:t>
      </w:r>
      <w:r>
        <w:rPr>
          <w:rFonts w:hint="default" w:ascii="仿宋" w:hAnsi="仿宋" w:eastAsia="仿宋" w:cs="仿宋"/>
          <w:b w:val="0"/>
          <w:bCs w:val="0"/>
          <w:color w:val="000000" w:themeColor="text1"/>
          <w:sz w:val="32"/>
          <w:szCs w:val="32"/>
          <w:lang w:val="en-US" w:eastAsia="zh-CN"/>
          <w14:textFill>
            <w14:solidFill>
              <w14:schemeClr w14:val="tx1"/>
            </w14:solidFill>
          </w14:textFill>
        </w:rPr>
        <w:t>千元以下罚款</w:t>
      </w:r>
      <w:r>
        <w:rPr>
          <w:rFonts w:hint="eastAsia" w:ascii="仿宋" w:hAnsi="仿宋" w:eastAsia="仿宋" w:cs="仿宋"/>
          <w:b w:val="0"/>
          <w:bCs w:val="0"/>
          <w:color w:val="000000" w:themeColor="text1"/>
          <w:sz w:val="32"/>
          <w:szCs w:val="32"/>
          <w:lang w:val="en-US" w:eastAsia="zh-CN"/>
          <w14:textFill>
            <w14:solidFill>
              <w14:schemeClr w14:val="tx1"/>
            </w14:solidFill>
          </w14:textFill>
        </w:rPr>
        <w:t>，对单位处以五千元至二万元以下罚款</w:t>
      </w:r>
      <w:r>
        <w:rPr>
          <w:rFonts w:hint="default" w:ascii="仿宋" w:hAnsi="仿宋" w:eastAsia="仿宋" w:cs="仿宋"/>
          <w:b w:val="0"/>
          <w:bCs w:val="0"/>
          <w:color w:val="000000" w:themeColor="text1"/>
          <w:sz w:val="32"/>
          <w:szCs w:val="32"/>
          <w:lang w:val="en-US" w:eastAsia="zh-CN"/>
          <w14:textFill>
            <w14:solidFill>
              <w14:schemeClr w14:val="tx1"/>
            </w14:solidFill>
          </w14:textFill>
        </w:rPr>
        <w:t>；造成损失的，</w:t>
      </w:r>
      <w:r>
        <w:rPr>
          <w:rFonts w:hint="eastAsia" w:ascii="仿宋" w:hAnsi="仿宋" w:eastAsia="仿宋" w:cs="仿宋"/>
          <w:b w:val="0"/>
          <w:bCs w:val="0"/>
          <w:color w:val="000000" w:themeColor="text1"/>
          <w:sz w:val="32"/>
          <w:szCs w:val="32"/>
          <w:lang w:val="en-US" w:eastAsia="zh-CN"/>
          <w14:textFill>
            <w14:solidFill>
              <w14:schemeClr w14:val="tx1"/>
            </w14:solidFill>
          </w14:textFill>
        </w:rPr>
        <w:t>按损失额的一至五倍处以罚款，但最高不得超过五万元。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擅自接用电源法律责任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违反本条例第二十五条规定，擅自</w:t>
      </w:r>
      <w:r>
        <w:rPr>
          <w:rFonts w:hint="default" w:ascii="仿宋" w:hAnsi="仿宋" w:eastAsia="仿宋" w:cs="仿宋"/>
          <w:b w:val="0"/>
          <w:bCs w:val="0"/>
          <w:color w:val="000000" w:themeColor="text1"/>
          <w:sz w:val="32"/>
          <w:szCs w:val="32"/>
          <w:lang w:val="en-US" w:eastAsia="zh-CN"/>
          <w14:textFill>
            <w14:solidFill>
              <w14:schemeClr w14:val="tx1"/>
            </w14:solidFill>
          </w14:textFill>
        </w:rPr>
        <w:t>在城市功能照明设施上接用电源</w:t>
      </w:r>
      <w:r>
        <w:rPr>
          <w:rFonts w:hint="eastAsia" w:ascii="仿宋" w:hAnsi="仿宋" w:eastAsia="仿宋" w:cs="仿宋"/>
          <w:b w:val="0"/>
          <w:bCs w:val="0"/>
          <w:color w:val="000000" w:themeColor="text1"/>
          <w:sz w:val="32"/>
          <w:szCs w:val="32"/>
          <w:lang w:val="en-US" w:eastAsia="zh-CN"/>
          <w14:textFill>
            <w14:solidFill>
              <w14:schemeClr w14:val="tx1"/>
            </w14:solidFill>
          </w14:textFill>
        </w:rPr>
        <w:t>，责令限期改正，支付所耗电费，接电方为个人的，处以一千元罚款，接电方为单位的，处以五千元罚款。造成损失的，按损失额的一至五倍处以罚款，但最高不得超过二万元。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第四十一条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擅自在照明设施上外设装饰物法律责任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违反本</w:t>
      </w:r>
      <w:r>
        <w:rPr>
          <w:rFonts w:hint="eastAsia" w:ascii="仿宋" w:hAnsi="仿宋" w:eastAsia="仿宋" w:cs="仿宋"/>
          <w:b w:val="0"/>
          <w:bCs w:val="0"/>
          <w:color w:val="000000" w:themeColor="text1"/>
          <w:sz w:val="32"/>
          <w:szCs w:val="32"/>
          <w:lang w:val="en-US" w:eastAsia="zh-CN"/>
          <w14:textFill>
            <w14:solidFill>
              <w14:schemeClr w14:val="tx1"/>
            </w14:solidFill>
          </w14:textFill>
        </w:rPr>
        <w:t>条例</w:t>
      </w:r>
      <w:r>
        <w:rPr>
          <w:rFonts w:hint="default" w:ascii="仿宋" w:hAnsi="仿宋" w:eastAsia="仿宋" w:cs="仿宋"/>
          <w:b w:val="0"/>
          <w:bCs w:val="0"/>
          <w:color w:val="000000" w:themeColor="text1"/>
          <w:sz w:val="32"/>
          <w:szCs w:val="32"/>
          <w:lang w:val="en-US" w:eastAsia="zh-CN"/>
          <w14:textFill>
            <w14:solidFill>
              <w14:schemeClr w14:val="tx1"/>
            </w14:solidFill>
          </w14:textFill>
        </w:rPr>
        <w:t>第二十</w:t>
      </w:r>
      <w:r>
        <w:rPr>
          <w:rFonts w:hint="eastAsia" w:ascii="仿宋" w:hAnsi="仿宋" w:eastAsia="仿宋" w:cs="仿宋"/>
          <w:b w:val="0"/>
          <w:bCs w:val="0"/>
          <w:color w:val="000000" w:themeColor="text1"/>
          <w:sz w:val="32"/>
          <w:szCs w:val="32"/>
          <w:lang w:val="en-US" w:eastAsia="zh-CN"/>
          <w14:textFill>
            <w14:solidFill>
              <w14:schemeClr w14:val="tx1"/>
            </w14:solidFill>
          </w14:textFill>
        </w:rPr>
        <w:t>六</w:t>
      </w:r>
      <w:r>
        <w:rPr>
          <w:rFonts w:hint="default" w:ascii="仿宋" w:hAnsi="仿宋" w:eastAsia="仿宋" w:cs="仿宋"/>
          <w:b w:val="0"/>
          <w:bCs w:val="0"/>
          <w:color w:val="000000" w:themeColor="text1"/>
          <w:sz w:val="32"/>
          <w:szCs w:val="32"/>
          <w:lang w:val="en-US" w:eastAsia="zh-CN"/>
          <w14:textFill>
            <w14:solidFill>
              <w14:schemeClr w14:val="tx1"/>
            </w14:solidFill>
          </w14:textFill>
        </w:rPr>
        <w:t>条规定，</w:t>
      </w:r>
      <w:r>
        <w:rPr>
          <w:rFonts w:hint="eastAsia" w:ascii="仿宋" w:hAnsi="仿宋" w:eastAsia="仿宋" w:cs="仿宋"/>
          <w:b w:val="0"/>
          <w:bCs w:val="0"/>
          <w:color w:val="000000" w:themeColor="text1"/>
          <w:sz w:val="32"/>
          <w:szCs w:val="32"/>
          <w:lang w:val="en-US" w:eastAsia="zh-CN"/>
          <w14:textFill>
            <w14:solidFill>
              <w14:schemeClr w14:val="tx1"/>
            </w14:solidFill>
          </w14:textFill>
        </w:rPr>
        <w:t>擅自在城市道路照明设施上设置广告或者装饰物</w:t>
      </w:r>
      <w:r>
        <w:rPr>
          <w:rFonts w:hint="default" w:ascii="仿宋" w:hAnsi="仿宋" w:eastAsia="仿宋" w:cs="仿宋"/>
          <w:b w:val="0"/>
          <w:bCs w:val="0"/>
          <w:color w:val="000000" w:themeColor="text1"/>
          <w:sz w:val="32"/>
          <w:szCs w:val="32"/>
          <w:lang w:val="en-US" w:eastAsia="zh-CN"/>
          <w14:textFill>
            <w14:solidFill>
              <w14:schemeClr w14:val="tx1"/>
            </w14:solidFill>
          </w14:textFill>
        </w:rPr>
        <w:t>的，责令限期改正，</w:t>
      </w:r>
      <w:r>
        <w:rPr>
          <w:rFonts w:hint="eastAsia" w:ascii="仿宋" w:hAnsi="仿宋" w:eastAsia="仿宋" w:cs="仿宋"/>
          <w:b w:val="0"/>
          <w:bCs w:val="0"/>
          <w:color w:val="000000" w:themeColor="text1"/>
          <w:sz w:val="32"/>
          <w:szCs w:val="32"/>
          <w:lang w:val="en-US" w:eastAsia="zh-CN"/>
          <w14:textFill>
            <w14:solidFill>
              <w14:schemeClr w14:val="tx1"/>
            </w14:solidFill>
          </w14:textFill>
        </w:rPr>
        <w:t>对个人处一千元罚款，对单位处五千元罚款</w:t>
      </w:r>
      <w:r>
        <w:rPr>
          <w:rFonts w:hint="eastAsia" w:ascii="仿宋" w:hAnsi="仿宋" w:eastAsia="仿宋" w:cs="仿宋"/>
          <w:b w:val="0"/>
          <w:bCs w:val="0"/>
          <w:color w:val="0000FF"/>
          <w:sz w:val="32"/>
          <w:szCs w:val="32"/>
          <w:lang w:val="en-US" w:eastAsia="zh-CN"/>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造成损失的</w:t>
      </w:r>
      <w:r>
        <w:rPr>
          <w:rFonts w:hint="eastAsia" w:ascii="仿宋" w:hAnsi="仿宋" w:eastAsia="仿宋" w:cs="仿宋"/>
          <w:b w:val="0"/>
          <w:bCs w:val="0"/>
          <w:color w:val="0000FF"/>
          <w:sz w:val="32"/>
          <w:szCs w:val="32"/>
          <w:lang w:val="en-US" w:eastAsia="zh-CN"/>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按损失额的一至五倍处以罚款，但最高不得超过二万元。</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第四十二条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违反禁止行为的法律责任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违反本条例第二十八条规定的，由城市照明行政主管部门责令纠正违法行为、采取补救措施，依法赔偿损失，并由城市照明行政主管部门按照下列规定进行处罚：</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在城市照明设施上刻划、涂污、张贴、晾晒，责令限期改正，对个人处一百元罚款，对单位处五百元罚款。造成损失的，按损失额的一至五倍处以罚款，但最高不得超过一万元</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在城市照明设施周边一米以内种植、挖坑、堆放物料、倾倒腐蚀性物品和液体的，对个人处一千元罚款，对单位处一万元罚款。造成损失的，按损失额的一至五倍处以罚款，但最高不得超过二万元</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擅自在城市照明设施上架设管线或者安置其他设施的，责令限期改正，对个人处五百元罚款，对单位处二千元罚款；造成损失的，按损失额的一至五倍处以罚款，但最高不得超过三万元；</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依附城市照明设施搭建建筑物、构筑物的，责令限期改正，对个人处一千元罚款，对单位处二千元罚款。造成损失的，按损失额的一至五倍处以罚款，但最高不得超过二万元；</w:t>
      </w:r>
    </w:p>
    <w:p>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擅自操作城市照明开关设施或者改变其运行方式的，责令限期改正，对个人处一千元罚款，对单位处五千元罚款。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第四十三条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其他法律责任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盗窃、故意毁损、非法收购城市照明设施，构成违反治安管理规定行为的，由公安机关依法予以处罚；涉嫌犯罪的，依法移送司法机关处理。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第四十四条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行政责任</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相关行政主管部门、城市照明管理机构工作人员违反本条例规定，滥用职权、徇私舞弊、玩忽职守的，依法给予行政处分；构成犯罪的，依法追究刑事责任。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第四十五条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拒缴罚款处置</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违反本条例规定，拒不缴纳罚款的，可以依法每日按照罚款数额加收罚款滞纳金，或者申请法院强制执行。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lang w:val="en-US" w:eastAsia="zh-CN"/>
          <w14:textFill>
            <w14:solidFill>
              <w14:schemeClr w14:val="tx1"/>
            </w14:solidFill>
          </w14:textFill>
        </w:rPr>
        <w:t>第六章 附 则</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四十六</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名词释义</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本</w:t>
      </w:r>
      <w:r>
        <w:rPr>
          <w:rFonts w:hint="eastAsia" w:ascii="仿宋" w:hAnsi="仿宋" w:eastAsia="仿宋" w:cs="仿宋"/>
          <w:b w:val="0"/>
          <w:bCs w:val="0"/>
          <w:color w:val="000000" w:themeColor="text1"/>
          <w:sz w:val="32"/>
          <w:szCs w:val="32"/>
          <w:lang w:eastAsia="zh-CN"/>
          <w14:textFill>
            <w14:solidFill>
              <w14:schemeClr w14:val="tx1"/>
            </w14:solidFill>
          </w14:textFill>
        </w:rPr>
        <w:t>条例</w:t>
      </w:r>
      <w:r>
        <w:rPr>
          <w:rFonts w:hint="eastAsia" w:ascii="仿宋" w:hAnsi="仿宋" w:eastAsia="仿宋" w:cs="仿宋"/>
          <w:b w:val="0"/>
          <w:bCs w:val="0"/>
          <w:color w:val="000000" w:themeColor="text1"/>
          <w:sz w:val="32"/>
          <w:szCs w:val="32"/>
          <w14:textFill>
            <w14:solidFill>
              <w14:schemeClr w14:val="tx1"/>
            </w14:solidFill>
          </w14:textFill>
        </w:rPr>
        <w:t>所称城市照明，是指城市道路、</w:t>
      </w:r>
      <w:r>
        <w:rPr>
          <w:rFonts w:hint="eastAsia" w:ascii="仿宋" w:hAnsi="仿宋" w:eastAsia="仿宋" w:cs="仿宋"/>
          <w:b w:val="0"/>
          <w:bCs w:val="0"/>
          <w:color w:val="000000" w:themeColor="text1"/>
          <w:sz w:val="32"/>
          <w:szCs w:val="32"/>
          <w:lang w:val="en-US" w:eastAsia="zh-CN"/>
          <w14:textFill>
            <w14:solidFill>
              <w14:schemeClr w14:val="tx1"/>
            </w14:solidFill>
          </w14:textFill>
        </w:rPr>
        <w:t>河道、</w:t>
      </w:r>
      <w:r>
        <w:rPr>
          <w:rFonts w:hint="eastAsia" w:ascii="仿宋" w:hAnsi="仿宋" w:eastAsia="仿宋" w:cs="仿宋"/>
          <w:b w:val="0"/>
          <w:bCs w:val="0"/>
          <w:color w:val="000000" w:themeColor="text1"/>
          <w:sz w:val="32"/>
          <w:szCs w:val="32"/>
          <w:lang w:eastAsia="zh-CN"/>
          <w14:textFill>
            <w14:solidFill>
              <w14:schemeClr w14:val="tx1"/>
            </w14:solidFill>
          </w14:textFill>
        </w:rPr>
        <w:t>桥梁、隧道、住宅区</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城中村、</w:t>
      </w:r>
      <w:r>
        <w:rPr>
          <w:rFonts w:hint="eastAsia" w:ascii="仿宋" w:hAnsi="仿宋" w:eastAsia="仿宋" w:cs="仿宋"/>
          <w:b w:val="0"/>
          <w:bCs w:val="0"/>
          <w:color w:val="000000" w:themeColor="text1"/>
          <w:sz w:val="32"/>
          <w:szCs w:val="32"/>
          <w:lang w:val="en-US" w:eastAsia="zh-CN"/>
          <w14:textFill>
            <w14:solidFill>
              <w14:schemeClr w14:val="tx1"/>
            </w14:solidFill>
          </w14:textFill>
        </w:rPr>
        <w:t>城市</w:t>
      </w:r>
      <w:r>
        <w:rPr>
          <w:rFonts w:hint="eastAsia" w:ascii="仿宋" w:hAnsi="仿宋" w:eastAsia="仿宋" w:cs="仿宋"/>
          <w:b w:val="0"/>
          <w:bCs w:val="0"/>
          <w:color w:val="000000" w:themeColor="text1"/>
          <w:sz w:val="32"/>
          <w:szCs w:val="32"/>
          <w14:textFill>
            <w14:solidFill>
              <w14:schemeClr w14:val="tx1"/>
            </w14:solidFill>
          </w14:textFill>
        </w:rPr>
        <w:t>广场、公园、公共绿地、名胜古迹以及其他建</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构</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筑物的功能照明和景观照明。</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功能照明是指通过人工光以保障人们出行和户外活动安全为目的的照明</w:t>
      </w:r>
      <w:r>
        <w:rPr>
          <w:rFonts w:hint="eastAsia" w:ascii="仿宋" w:hAnsi="仿宋" w:eastAsia="仿宋" w:cs="仿宋"/>
          <w:b w:val="0"/>
          <w:bCs w:val="0"/>
          <w:color w:val="000000" w:themeColor="text1"/>
          <w:sz w:val="32"/>
          <w:szCs w:val="32"/>
          <w:lang w:eastAsia="zh-CN"/>
          <w14:textFill>
            <w14:solidFill>
              <w14:schemeClr w14:val="tx1"/>
            </w14:solidFill>
          </w14:textFill>
        </w:rPr>
        <w:t>和其他功能照明。</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景观照明是指在户外通过人工光以装饰和造景为目的的照明。</w:t>
      </w:r>
    </w:p>
    <w:p>
      <w:pPr>
        <w:keepNext w:val="0"/>
        <w:keepLines w:val="0"/>
        <w:pageBreakBefore w:val="0"/>
        <w:kinsoku/>
        <w:wordWrap/>
        <w:overflowPunct/>
        <w:topLinePunct w:val="0"/>
        <w:autoSpaceDE/>
        <w:autoSpaceDN/>
        <w:bidi w:val="0"/>
        <w:adjustRightInd/>
        <w:snapToGrid/>
        <w:spacing w:line="600" w:lineRule="exact"/>
        <w:ind w:firstLine="645" w:firstLineChars="0"/>
        <w:textAlignment w:val="auto"/>
        <w:rPr>
          <w:rFonts w:hint="default" w:ascii="仿宋" w:hAnsi="仿宋" w:eastAsia="仿宋" w:cs="仿宋"/>
          <w:b w:val="0"/>
          <w:bCs w:val="0"/>
          <w:strike/>
          <w:dstrike w:val="0"/>
          <w:color w:val="0000FF"/>
          <w:sz w:val="32"/>
          <w:szCs w:val="32"/>
          <w:lang w:val="en-US" w:eastAsia="zh-CN"/>
        </w:rPr>
      </w:pPr>
      <w:r>
        <w:rPr>
          <w:rFonts w:hint="eastAsia" w:ascii="仿宋" w:hAnsi="仿宋" w:eastAsia="仿宋" w:cs="仿宋"/>
          <w:b w:val="0"/>
          <w:bCs w:val="0"/>
          <w:color w:val="000000" w:themeColor="text1"/>
          <w:sz w:val="32"/>
          <w:szCs w:val="32"/>
          <w14:textFill>
            <w14:solidFill>
              <w14:schemeClr w14:val="tx1"/>
            </w14:solidFill>
          </w14:textFill>
        </w:rPr>
        <w:t>城市照明设施，是指用于城市照明的配电室、变压器、配电箱、灯杆、灯具、管线、工作井、监控系统</w:t>
      </w:r>
      <w:r>
        <w:rPr>
          <w:rFonts w:hint="eastAsia" w:ascii="仿宋" w:hAnsi="仿宋" w:eastAsia="仿宋" w:cs="仿宋"/>
          <w:b w:val="0"/>
          <w:bCs w:val="0"/>
          <w:color w:val="000000" w:themeColor="text1"/>
          <w:sz w:val="32"/>
          <w:szCs w:val="32"/>
          <w:lang w:eastAsia="zh-CN"/>
          <w14:textFill>
            <w14:solidFill>
              <w14:schemeClr w14:val="tx1"/>
            </w14:solidFill>
          </w14:textFill>
        </w:rPr>
        <w:t>、节能系统</w:t>
      </w:r>
      <w:r>
        <w:rPr>
          <w:rFonts w:hint="eastAsia" w:ascii="仿宋" w:hAnsi="仿宋" w:eastAsia="仿宋" w:cs="仿宋"/>
          <w:b w:val="0"/>
          <w:bCs w:val="0"/>
          <w:color w:val="000000" w:themeColor="text1"/>
          <w:sz w:val="32"/>
          <w:szCs w:val="32"/>
          <w14:textFill>
            <w14:solidFill>
              <w14:schemeClr w14:val="tx1"/>
            </w14:solidFill>
          </w14:textFill>
        </w:rPr>
        <w:t>等设备和</w:t>
      </w:r>
      <w:r>
        <w:rPr>
          <w:rFonts w:hint="eastAsia" w:ascii="仿宋" w:hAnsi="仿宋" w:eastAsia="仿宋" w:cs="仿宋"/>
          <w:b w:val="0"/>
          <w:bCs w:val="0"/>
          <w:color w:val="000000" w:themeColor="text1"/>
          <w:sz w:val="32"/>
          <w:szCs w:val="32"/>
          <w:lang w:eastAsia="zh-CN"/>
          <w14:textFill>
            <w14:solidFill>
              <w14:schemeClr w14:val="tx1"/>
            </w14:solidFill>
          </w14:textFill>
        </w:rPr>
        <w:t>其他</w:t>
      </w:r>
      <w:r>
        <w:rPr>
          <w:rFonts w:hint="eastAsia" w:ascii="仿宋" w:hAnsi="仿宋" w:eastAsia="仿宋" w:cs="仿宋"/>
          <w:b w:val="0"/>
          <w:bCs w:val="0"/>
          <w:color w:val="000000" w:themeColor="text1"/>
          <w:sz w:val="32"/>
          <w:szCs w:val="32"/>
          <w14:textFill>
            <w14:solidFill>
              <w14:schemeClr w14:val="tx1"/>
            </w14:solidFill>
          </w14:textFill>
        </w:rPr>
        <w:t>附属设施。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第四十七条</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val="en-US" w:eastAsia="zh-CN"/>
          <w14:textFill>
            <w14:solidFill>
              <w14:schemeClr w14:val="tx1"/>
            </w14:solidFill>
          </w14:textFill>
        </w:rPr>
        <w:t>施行时间</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本</w:t>
      </w:r>
      <w:r>
        <w:rPr>
          <w:rFonts w:hint="eastAsia" w:ascii="仿宋" w:hAnsi="仿宋" w:eastAsia="仿宋" w:cs="仿宋"/>
          <w:b w:val="0"/>
          <w:bCs w:val="0"/>
          <w:color w:val="000000" w:themeColor="text1"/>
          <w:sz w:val="32"/>
          <w:szCs w:val="32"/>
          <w:lang w:val="en-US" w:eastAsia="zh-CN"/>
          <w14:textFill>
            <w14:solidFill>
              <w14:schemeClr w14:val="tx1"/>
            </w14:solidFill>
          </w14:textFill>
        </w:rPr>
        <w:t>条例</w:t>
      </w:r>
      <w:r>
        <w:rPr>
          <w:rFonts w:hint="default" w:ascii="仿宋" w:hAnsi="仿宋" w:eastAsia="仿宋" w:cs="仿宋"/>
          <w:b w:val="0"/>
          <w:bCs w:val="0"/>
          <w:color w:val="000000" w:themeColor="text1"/>
          <w:sz w:val="32"/>
          <w:szCs w:val="32"/>
          <w:lang w:val="en-US" w:eastAsia="zh-CN"/>
          <w14:textFill>
            <w14:solidFill>
              <w14:schemeClr w14:val="tx1"/>
            </w14:solidFill>
          </w14:textFill>
        </w:rPr>
        <w:t>自</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default" w:ascii="仿宋" w:hAnsi="仿宋" w:eastAsia="仿宋" w:cs="仿宋"/>
          <w:b w:val="0"/>
          <w:bCs w:val="0"/>
          <w:color w:val="000000" w:themeColor="text1"/>
          <w:sz w:val="32"/>
          <w:szCs w:val="32"/>
          <w:lang w:val="en-US" w:eastAsia="zh-CN"/>
          <w14:textFill>
            <w14:solidFill>
              <w14:schemeClr w14:val="tx1"/>
            </w14:solidFill>
          </w14:textFill>
        </w:rPr>
        <w:t>年</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default" w:ascii="仿宋" w:hAnsi="仿宋" w:eastAsia="仿宋" w:cs="仿宋"/>
          <w:b w:val="0"/>
          <w:bCs w:val="0"/>
          <w:color w:val="000000" w:themeColor="text1"/>
          <w:sz w:val="32"/>
          <w:szCs w:val="32"/>
          <w:lang w:val="en-US" w:eastAsia="zh-CN"/>
          <w14:textFill>
            <w14:solidFill>
              <w14:schemeClr w14:val="tx1"/>
            </w14:solidFill>
          </w14:textFill>
        </w:rPr>
        <w:t>月</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default" w:ascii="仿宋" w:hAnsi="仿宋" w:eastAsia="仿宋" w:cs="仿宋"/>
          <w:b w:val="0"/>
          <w:bCs w:val="0"/>
          <w:color w:val="000000" w:themeColor="text1"/>
          <w:sz w:val="32"/>
          <w:szCs w:val="32"/>
          <w:lang w:val="en-US" w:eastAsia="zh-CN"/>
          <w14:textFill>
            <w14:solidFill>
              <w14:schemeClr w14:val="tx1"/>
            </w14:solidFill>
          </w14:textFill>
        </w:rPr>
        <w:t>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sectPr>
      <w:footerReference r:id="rId3"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860C2"/>
    <w:multiLevelType w:val="singleLevel"/>
    <w:tmpl w:val="A53860C2"/>
    <w:lvl w:ilvl="0" w:tentative="0">
      <w:start w:val="1"/>
      <w:numFmt w:val="chineseCounting"/>
      <w:suff w:val="nothing"/>
      <w:lvlText w:val="（%1）"/>
      <w:lvlJc w:val="left"/>
      <w:rPr>
        <w:rFonts w:hint="eastAsia"/>
      </w:rPr>
    </w:lvl>
  </w:abstractNum>
  <w:abstractNum w:abstractNumId="1">
    <w:nsid w:val="5EB8A078"/>
    <w:multiLevelType w:val="singleLevel"/>
    <w:tmpl w:val="5EB8A0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3016D"/>
    <w:rsid w:val="004D6BBF"/>
    <w:rsid w:val="00D04B1F"/>
    <w:rsid w:val="01243E2E"/>
    <w:rsid w:val="02107CDE"/>
    <w:rsid w:val="021C2F9E"/>
    <w:rsid w:val="02313666"/>
    <w:rsid w:val="0336044F"/>
    <w:rsid w:val="03743742"/>
    <w:rsid w:val="03F92654"/>
    <w:rsid w:val="04761FC9"/>
    <w:rsid w:val="04EC4A8B"/>
    <w:rsid w:val="05CD7C29"/>
    <w:rsid w:val="06586303"/>
    <w:rsid w:val="06771235"/>
    <w:rsid w:val="0737351F"/>
    <w:rsid w:val="07F5590E"/>
    <w:rsid w:val="08C0177E"/>
    <w:rsid w:val="08E539B8"/>
    <w:rsid w:val="0965120B"/>
    <w:rsid w:val="09657C3C"/>
    <w:rsid w:val="0A2E0D2D"/>
    <w:rsid w:val="0A7736EB"/>
    <w:rsid w:val="0B9B7C17"/>
    <w:rsid w:val="0BD20E86"/>
    <w:rsid w:val="0C4C6FDD"/>
    <w:rsid w:val="0D292874"/>
    <w:rsid w:val="0D4C4898"/>
    <w:rsid w:val="0EF77376"/>
    <w:rsid w:val="0F084A51"/>
    <w:rsid w:val="0F355E13"/>
    <w:rsid w:val="0FF37985"/>
    <w:rsid w:val="0FFA1F21"/>
    <w:rsid w:val="0FFD4719"/>
    <w:rsid w:val="10A2343B"/>
    <w:rsid w:val="11061C69"/>
    <w:rsid w:val="110D5E13"/>
    <w:rsid w:val="115D2775"/>
    <w:rsid w:val="11CD08B3"/>
    <w:rsid w:val="11CE43D6"/>
    <w:rsid w:val="12267BF9"/>
    <w:rsid w:val="12326DB8"/>
    <w:rsid w:val="13E4424D"/>
    <w:rsid w:val="14C61369"/>
    <w:rsid w:val="14DA24BE"/>
    <w:rsid w:val="150134E5"/>
    <w:rsid w:val="15A61D54"/>
    <w:rsid w:val="15FD049A"/>
    <w:rsid w:val="166365D0"/>
    <w:rsid w:val="16BD1177"/>
    <w:rsid w:val="170166B2"/>
    <w:rsid w:val="17792B88"/>
    <w:rsid w:val="17982B66"/>
    <w:rsid w:val="182549D1"/>
    <w:rsid w:val="18C4295D"/>
    <w:rsid w:val="18D60DC7"/>
    <w:rsid w:val="18F9440C"/>
    <w:rsid w:val="191552A4"/>
    <w:rsid w:val="19732BB0"/>
    <w:rsid w:val="19CD37CB"/>
    <w:rsid w:val="1AE0327B"/>
    <w:rsid w:val="1AEE5BE8"/>
    <w:rsid w:val="1B614429"/>
    <w:rsid w:val="1BDE659E"/>
    <w:rsid w:val="1C255942"/>
    <w:rsid w:val="1C31076F"/>
    <w:rsid w:val="1C4114BC"/>
    <w:rsid w:val="1CE527A4"/>
    <w:rsid w:val="1D93016D"/>
    <w:rsid w:val="1DB579D9"/>
    <w:rsid w:val="1ECA38B2"/>
    <w:rsid w:val="204B22AE"/>
    <w:rsid w:val="20F652DA"/>
    <w:rsid w:val="22AC083B"/>
    <w:rsid w:val="231E45BF"/>
    <w:rsid w:val="232034B3"/>
    <w:rsid w:val="23306808"/>
    <w:rsid w:val="245F045F"/>
    <w:rsid w:val="25503C06"/>
    <w:rsid w:val="261B3410"/>
    <w:rsid w:val="27745F4A"/>
    <w:rsid w:val="280D6171"/>
    <w:rsid w:val="28240E06"/>
    <w:rsid w:val="287E278D"/>
    <w:rsid w:val="2AA11A5E"/>
    <w:rsid w:val="2C211EB3"/>
    <w:rsid w:val="2C8270C5"/>
    <w:rsid w:val="2CAC3226"/>
    <w:rsid w:val="2D137782"/>
    <w:rsid w:val="2D1B0A8A"/>
    <w:rsid w:val="2D681B2F"/>
    <w:rsid w:val="2E1A06DC"/>
    <w:rsid w:val="2E3C300D"/>
    <w:rsid w:val="2EC8138F"/>
    <w:rsid w:val="2F1456A2"/>
    <w:rsid w:val="30112C98"/>
    <w:rsid w:val="305B1A7F"/>
    <w:rsid w:val="30A54B2E"/>
    <w:rsid w:val="311D4672"/>
    <w:rsid w:val="315D137B"/>
    <w:rsid w:val="317F6F2B"/>
    <w:rsid w:val="33455D69"/>
    <w:rsid w:val="336C6D02"/>
    <w:rsid w:val="33975689"/>
    <w:rsid w:val="33E07BC3"/>
    <w:rsid w:val="355264A0"/>
    <w:rsid w:val="37A70024"/>
    <w:rsid w:val="37B00517"/>
    <w:rsid w:val="380423BA"/>
    <w:rsid w:val="38144AD1"/>
    <w:rsid w:val="387A60B1"/>
    <w:rsid w:val="395A62C0"/>
    <w:rsid w:val="39B017C8"/>
    <w:rsid w:val="39D255B4"/>
    <w:rsid w:val="3A43221E"/>
    <w:rsid w:val="3AE162D4"/>
    <w:rsid w:val="3B023B5F"/>
    <w:rsid w:val="3B155393"/>
    <w:rsid w:val="3B497A6D"/>
    <w:rsid w:val="3C5144C0"/>
    <w:rsid w:val="3CA21DB3"/>
    <w:rsid w:val="3CE32962"/>
    <w:rsid w:val="3DAF7C9E"/>
    <w:rsid w:val="401F4256"/>
    <w:rsid w:val="405B4105"/>
    <w:rsid w:val="412D3553"/>
    <w:rsid w:val="425813F7"/>
    <w:rsid w:val="42B144E9"/>
    <w:rsid w:val="42C94869"/>
    <w:rsid w:val="4320155D"/>
    <w:rsid w:val="436A337B"/>
    <w:rsid w:val="440B45F6"/>
    <w:rsid w:val="44294098"/>
    <w:rsid w:val="44E4165C"/>
    <w:rsid w:val="453922B7"/>
    <w:rsid w:val="456635A8"/>
    <w:rsid w:val="45707A8C"/>
    <w:rsid w:val="471425F5"/>
    <w:rsid w:val="47360FC7"/>
    <w:rsid w:val="484B6BF9"/>
    <w:rsid w:val="488A2311"/>
    <w:rsid w:val="48C56E0B"/>
    <w:rsid w:val="493115A1"/>
    <w:rsid w:val="494362D0"/>
    <w:rsid w:val="49B14B93"/>
    <w:rsid w:val="4A424A96"/>
    <w:rsid w:val="4AD47D6B"/>
    <w:rsid w:val="4B237CA2"/>
    <w:rsid w:val="4BC21714"/>
    <w:rsid w:val="4BD01CAE"/>
    <w:rsid w:val="4C50353D"/>
    <w:rsid w:val="4C707F50"/>
    <w:rsid w:val="4D2516AE"/>
    <w:rsid w:val="4D2D03E6"/>
    <w:rsid w:val="4DD3019B"/>
    <w:rsid w:val="4E3118C2"/>
    <w:rsid w:val="4E984265"/>
    <w:rsid w:val="4EB727CE"/>
    <w:rsid w:val="4F417393"/>
    <w:rsid w:val="50012A1A"/>
    <w:rsid w:val="50D2468A"/>
    <w:rsid w:val="51245B66"/>
    <w:rsid w:val="526716C0"/>
    <w:rsid w:val="529C2649"/>
    <w:rsid w:val="52D1044A"/>
    <w:rsid w:val="53CA0CB3"/>
    <w:rsid w:val="543276E3"/>
    <w:rsid w:val="546F4A66"/>
    <w:rsid w:val="55361E24"/>
    <w:rsid w:val="553A4620"/>
    <w:rsid w:val="559C3738"/>
    <w:rsid w:val="55A60D87"/>
    <w:rsid w:val="56285409"/>
    <w:rsid w:val="57017EA2"/>
    <w:rsid w:val="576753EB"/>
    <w:rsid w:val="57B026B4"/>
    <w:rsid w:val="5915242A"/>
    <w:rsid w:val="5BFF2C4E"/>
    <w:rsid w:val="5CC83681"/>
    <w:rsid w:val="5D3A56AC"/>
    <w:rsid w:val="5DF64EBC"/>
    <w:rsid w:val="5E577C23"/>
    <w:rsid w:val="5E67605F"/>
    <w:rsid w:val="5F0B277E"/>
    <w:rsid w:val="60524329"/>
    <w:rsid w:val="60DD4BFA"/>
    <w:rsid w:val="60F739EF"/>
    <w:rsid w:val="61676D9C"/>
    <w:rsid w:val="619814D5"/>
    <w:rsid w:val="62184548"/>
    <w:rsid w:val="622B48FF"/>
    <w:rsid w:val="62790802"/>
    <w:rsid w:val="62C13D02"/>
    <w:rsid w:val="63A730CB"/>
    <w:rsid w:val="63E741CB"/>
    <w:rsid w:val="648E5697"/>
    <w:rsid w:val="64E56E6E"/>
    <w:rsid w:val="65151F36"/>
    <w:rsid w:val="652A341A"/>
    <w:rsid w:val="65310572"/>
    <w:rsid w:val="65335D21"/>
    <w:rsid w:val="65AE0C5C"/>
    <w:rsid w:val="662370DB"/>
    <w:rsid w:val="66292CD6"/>
    <w:rsid w:val="66C25F85"/>
    <w:rsid w:val="672033DE"/>
    <w:rsid w:val="68505154"/>
    <w:rsid w:val="686C1985"/>
    <w:rsid w:val="6AD071F3"/>
    <w:rsid w:val="6AE74807"/>
    <w:rsid w:val="6B8845DA"/>
    <w:rsid w:val="6BBA6D52"/>
    <w:rsid w:val="6BD36DEF"/>
    <w:rsid w:val="6D1323CB"/>
    <w:rsid w:val="6D6C790F"/>
    <w:rsid w:val="6D9D4C28"/>
    <w:rsid w:val="6F8A4404"/>
    <w:rsid w:val="6FD57D51"/>
    <w:rsid w:val="719831F6"/>
    <w:rsid w:val="71A91289"/>
    <w:rsid w:val="71F81C61"/>
    <w:rsid w:val="72BF34D6"/>
    <w:rsid w:val="733923D8"/>
    <w:rsid w:val="735C7F97"/>
    <w:rsid w:val="745E4A54"/>
    <w:rsid w:val="748C6CB6"/>
    <w:rsid w:val="7499568C"/>
    <w:rsid w:val="76125EBC"/>
    <w:rsid w:val="76453942"/>
    <w:rsid w:val="764B556D"/>
    <w:rsid w:val="79B127AC"/>
    <w:rsid w:val="7BDB3C2C"/>
    <w:rsid w:val="7C894D98"/>
    <w:rsid w:val="7CBB28A8"/>
    <w:rsid w:val="7CC07E16"/>
    <w:rsid w:val="7D1A2277"/>
    <w:rsid w:val="7D45430A"/>
    <w:rsid w:val="7DB27330"/>
    <w:rsid w:val="7DD007E9"/>
    <w:rsid w:val="7E4A6C8C"/>
    <w:rsid w:val="7F681153"/>
    <w:rsid w:val="7FA3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2020-02-26T00:40:00Z</dcterms:created>
  <dc:creator>№囍^O^</dc:creator>
  <cp:lastModifiedBy>长治政府办李怿-15735573333</cp:lastModifiedBy>
  <cp:lastPrinted>2020-08-05T02:05:40Z</cp:lastPrinted>
  <dcterms:modified xsi:type="dcterms:W3CDTF">2020-08-05T02:39:48Z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