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CD" w:rsidRDefault="00564ECD" w:rsidP="00564EC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64ECD" w:rsidRDefault="00564ECD" w:rsidP="00564ECD">
      <w:pPr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运输结构调整工作</w:t>
      </w:r>
      <w:r>
        <w:rPr>
          <w:rFonts w:ascii="Times New Roman" w:eastAsia="黑体" w:hAnsi="Times New Roman" w:hint="eastAsia"/>
          <w:sz w:val="36"/>
          <w:szCs w:val="36"/>
        </w:rPr>
        <w:t>监</w:t>
      </w:r>
      <w:r>
        <w:rPr>
          <w:rFonts w:ascii="Times New Roman" w:eastAsia="黑体" w:hAnsi="Times New Roman"/>
          <w:sz w:val="36"/>
          <w:szCs w:val="36"/>
        </w:rPr>
        <w:t>测分析表</w:t>
      </w:r>
    </w:p>
    <w:p w:rsidR="00564ECD" w:rsidRDefault="00564ECD" w:rsidP="00564ECD">
      <w:pPr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填报</w:t>
      </w:r>
      <w:r>
        <w:rPr>
          <w:rFonts w:ascii="Times New Roman" w:eastAsia="仿宋_GB2312" w:hAnsi="Times New Roman" w:hint="eastAsia"/>
          <w:sz w:val="28"/>
          <w:szCs w:val="28"/>
        </w:rPr>
        <w:t>单位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填报日期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28"/>
          <w:szCs w:val="28"/>
        </w:rPr>
        <w:t>联系人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联系电话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  </w:t>
      </w:r>
    </w:p>
    <w:tbl>
      <w:tblPr>
        <w:tblStyle w:val="a3"/>
        <w:tblW w:w="9980" w:type="dxa"/>
        <w:jc w:val="center"/>
        <w:tblLayout w:type="fixed"/>
        <w:tblLook w:val="04A0"/>
      </w:tblPr>
      <w:tblGrid>
        <w:gridCol w:w="623"/>
        <w:gridCol w:w="4147"/>
        <w:gridCol w:w="929"/>
        <w:gridCol w:w="1083"/>
        <w:gridCol w:w="944"/>
        <w:gridCol w:w="1006"/>
        <w:gridCol w:w="1248"/>
      </w:tblGrid>
      <w:tr w:rsidR="00564ECD" w:rsidTr="002F365F">
        <w:trPr>
          <w:trHeight w:val="649"/>
          <w:jc w:val="center"/>
        </w:trPr>
        <w:tc>
          <w:tcPr>
            <w:tcW w:w="623" w:type="dxa"/>
            <w:vMerge w:val="restart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序号</w:t>
            </w:r>
          </w:p>
        </w:tc>
        <w:tc>
          <w:tcPr>
            <w:tcW w:w="4147" w:type="dxa"/>
            <w:vMerge w:val="restart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指标</w:t>
            </w:r>
          </w:p>
        </w:tc>
        <w:tc>
          <w:tcPr>
            <w:tcW w:w="929" w:type="dxa"/>
            <w:vMerge w:val="restart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单位</w:t>
            </w:r>
          </w:p>
        </w:tc>
        <w:tc>
          <w:tcPr>
            <w:tcW w:w="1083" w:type="dxa"/>
            <w:vMerge w:val="restart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2017</w:t>
            </w:r>
            <w:r>
              <w:rPr>
                <w:rFonts w:ascii="Times New Roman" w:eastAsiaTheme="minorEastAsia" w:hAnsi="Times New Roman"/>
              </w:rPr>
              <w:t>年</w:t>
            </w:r>
          </w:p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完成量</w:t>
            </w:r>
          </w:p>
        </w:tc>
        <w:tc>
          <w:tcPr>
            <w:tcW w:w="944" w:type="dxa"/>
            <w:vMerge w:val="restart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2018</w:t>
            </w:r>
            <w:r>
              <w:rPr>
                <w:rFonts w:ascii="Times New Roman" w:eastAsiaTheme="minorEastAsia" w:hAnsi="Times New Roman"/>
              </w:rPr>
              <w:t>年</w:t>
            </w:r>
          </w:p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完成量</w:t>
            </w:r>
          </w:p>
        </w:tc>
        <w:tc>
          <w:tcPr>
            <w:tcW w:w="2254" w:type="dxa"/>
            <w:gridSpan w:val="2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2019—2020</w:t>
            </w:r>
            <w:r>
              <w:rPr>
                <w:rFonts w:ascii="Times New Roman" w:eastAsiaTheme="minorEastAsia" w:hAnsi="Times New Roman"/>
              </w:rPr>
              <w:t>年</w:t>
            </w:r>
          </w:p>
        </w:tc>
      </w:tr>
      <w:tr w:rsidR="00564ECD" w:rsidTr="002F365F">
        <w:trPr>
          <w:trHeight w:val="719"/>
          <w:jc w:val="center"/>
        </w:trPr>
        <w:tc>
          <w:tcPr>
            <w:tcW w:w="623" w:type="dxa"/>
            <w:vMerge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147" w:type="dxa"/>
            <w:vMerge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29" w:type="dxa"/>
            <w:vMerge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3" w:type="dxa"/>
            <w:vMerge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Merge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当季完</w:t>
            </w:r>
          </w:p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成量</w:t>
            </w: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年度累计完成量</w:t>
            </w: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铁路货运总量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其中：国家铁路货运量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ind w:firstLineChars="300" w:firstLine="720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国家能源投资集团铁路货运量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ind w:firstLineChars="300" w:firstLine="720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其他铁路货运量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水路货运量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沿海港口大宗货物公路运输量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集装箱公铁联运量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</w:t>
            </w:r>
            <w:r>
              <w:rPr>
                <w:rFonts w:ascii="Times New Roman" w:eastAsiaTheme="minorEastAsia" w:hAnsi="Times New Roman"/>
              </w:rPr>
              <w:t>TEU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集装箱铁水连运量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</w:t>
            </w:r>
            <w:r>
              <w:rPr>
                <w:rFonts w:ascii="Times New Roman" w:eastAsiaTheme="minorEastAsia" w:hAnsi="Times New Roman"/>
              </w:rPr>
              <w:t>TEU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57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滚装汽车吞吐量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71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大型工矿企业（大宗货物年运量</w:t>
            </w:r>
            <w:r>
              <w:rPr>
                <w:rFonts w:ascii="Times New Roman" w:eastAsiaTheme="minorEastAsia" w:hAnsi="Times New Roman"/>
              </w:rPr>
              <w:t>150</w:t>
            </w:r>
            <w:r>
              <w:rPr>
                <w:rFonts w:ascii="Times New Roman" w:eastAsiaTheme="minorEastAsia" w:hAnsi="Times New Roman"/>
              </w:rPr>
              <w:t>万吨以上，下同）数量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个</w:t>
            </w:r>
            <w:proofErr w:type="gramEnd"/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71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接入铁路专用线的大型工矿企业数量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个</w:t>
            </w:r>
            <w:proofErr w:type="gramEnd"/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71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城市建成区新增和更新轻型物流配送车辆数量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万辆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1130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城市建成区新增和更新轻型物流配送车辆数量（新能源车辆和达到国六排放标准的清洁能源车辆）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万辆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709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高速公路货运车辆超限超载率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%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920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15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接入铁路专用线的大型工矿企业大宗货物运输总量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905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接入铁路专用线的大型工矿企业大宗货物铁路运输总量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万吨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650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高速公路收费站数量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个</w:t>
            </w:r>
            <w:proofErr w:type="gramEnd"/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734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高速公路入口称重检测收费站数量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个</w:t>
            </w:r>
            <w:proofErr w:type="gramEnd"/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64ECD" w:rsidTr="002F365F">
        <w:trPr>
          <w:trHeight w:val="730"/>
          <w:jc w:val="center"/>
        </w:trPr>
        <w:tc>
          <w:tcPr>
            <w:tcW w:w="62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4147" w:type="dxa"/>
            <w:vAlign w:val="center"/>
          </w:tcPr>
          <w:p w:rsidR="00564ECD" w:rsidRDefault="00564ECD" w:rsidP="002F365F">
            <w:pPr>
              <w:spacing w:line="320" w:lineRule="exact"/>
              <w:jc w:val="left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普通国省干线</w:t>
            </w:r>
            <w:proofErr w:type="gramEnd"/>
            <w:r>
              <w:rPr>
                <w:rFonts w:ascii="Times New Roman" w:eastAsiaTheme="minorEastAsia" w:hAnsi="Times New Roman"/>
              </w:rPr>
              <w:t>货运车辆超限超载率</w:t>
            </w:r>
          </w:p>
        </w:tc>
        <w:tc>
          <w:tcPr>
            <w:tcW w:w="929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%</w:t>
            </w:r>
          </w:p>
        </w:tc>
        <w:tc>
          <w:tcPr>
            <w:tcW w:w="1083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44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6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——</w:t>
            </w:r>
          </w:p>
        </w:tc>
        <w:tc>
          <w:tcPr>
            <w:tcW w:w="1248" w:type="dxa"/>
            <w:vAlign w:val="center"/>
          </w:tcPr>
          <w:p w:rsidR="00564ECD" w:rsidRDefault="00564ECD" w:rsidP="002F365F">
            <w:pPr>
              <w:spacing w:line="32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564ECD" w:rsidRDefault="00564ECD" w:rsidP="00564ECD">
      <w:pPr>
        <w:jc w:val="left"/>
        <w:rPr>
          <w:rFonts w:ascii="Times New Roman" w:eastAsiaTheme="minorEastAsia" w:hAnsi="Times New Roman"/>
        </w:rPr>
      </w:pPr>
    </w:p>
    <w:p w:rsidR="00564ECD" w:rsidRDefault="00564ECD" w:rsidP="00564ECD">
      <w:pPr>
        <w:jc w:val="lef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注：</w:t>
      </w:r>
      <w:r>
        <w:rPr>
          <w:rFonts w:ascii="Times New Roman" w:eastAsiaTheme="minorEastAsia" w:hAnsi="Times New Roman"/>
        </w:rPr>
        <w:t>2018</w:t>
      </w:r>
      <w:r>
        <w:rPr>
          <w:rFonts w:ascii="Times New Roman" w:eastAsiaTheme="minorEastAsia" w:hAnsi="Times New Roman"/>
        </w:rPr>
        <w:t>年完成量，以及第</w:t>
      </w:r>
      <w:r>
        <w:rPr>
          <w:rFonts w:ascii="Times New Roman" w:eastAsiaTheme="minorEastAsia" w:hAnsi="Times New Roman"/>
        </w:rPr>
        <w:t>6—19</w:t>
      </w:r>
      <w:r>
        <w:rPr>
          <w:rFonts w:ascii="Times New Roman" w:eastAsiaTheme="minorEastAsia" w:hAnsi="Times New Roman"/>
        </w:rPr>
        <w:t>项指标</w:t>
      </w:r>
      <w:r>
        <w:rPr>
          <w:rFonts w:ascii="Times New Roman" w:eastAsiaTheme="minorEastAsia" w:hAnsi="Times New Roman"/>
        </w:rPr>
        <w:t>2017</w:t>
      </w:r>
      <w:r>
        <w:rPr>
          <w:rFonts w:ascii="Times New Roman" w:eastAsiaTheme="minorEastAsia" w:hAnsi="Times New Roman"/>
        </w:rPr>
        <w:t>年完成量仅</w:t>
      </w:r>
      <w:proofErr w:type="gramStart"/>
      <w:r>
        <w:rPr>
          <w:rFonts w:ascii="Times New Roman" w:eastAsiaTheme="minorEastAsia" w:hAnsi="Times New Roman"/>
        </w:rPr>
        <w:t>需近期</w:t>
      </w:r>
      <w:proofErr w:type="gramEnd"/>
      <w:r>
        <w:rPr>
          <w:rFonts w:ascii="Times New Roman" w:eastAsiaTheme="minorEastAsia" w:hAnsi="Times New Roman"/>
        </w:rPr>
        <w:t>上报时一次填写，之后不再填写；</w:t>
      </w: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——</w:t>
      </w:r>
      <w:r>
        <w:rPr>
          <w:rFonts w:ascii="Times New Roman" w:eastAsiaTheme="minorEastAsia" w:hAnsi="Times New Roman"/>
        </w:rPr>
        <w:t>”</w:t>
      </w:r>
      <w:r>
        <w:rPr>
          <w:rFonts w:ascii="Times New Roman" w:eastAsiaTheme="minorEastAsia" w:hAnsi="Times New Roman"/>
        </w:rPr>
        <w:t>表示不需填写。</w:t>
      </w: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</w:pP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</w:pP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</w:pP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</w:pP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</w:pP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</w:pP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</w:pPr>
    </w:p>
    <w:p w:rsidR="00564ECD" w:rsidRDefault="00564ECD" w:rsidP="00564ECD">
      <w:pPr>
        <w:rPr>
          <w:rFonts w:ascii="Times New Roman" w:eastAsia="仿宋_GB2312" w:hAnsi="Times New Roman"/>
          <w:sz w:val="32"/>
          <w:szCs w:val="32"/>
        </w:rPr>
        <w:sectPr w:rsidR="00564ECD">
          <w:pgSz w:w="11900" w:h="16840"/>
          <w:pgMar w:top="1440" w:right="1800" w:bottom="1440" w:left="1746" w:header="851" w:footer="992" w:gutter="0"/>
          <w:cols w:space="720"/>
          <w:docGrid w:type="lines" w:linePitch="312"/>
        </w:sectPr>
      </w:pPr>
    </w:p>
    <w:p w:rsidR="00F47341" w:rsidRPr="00564ECD" w:rsidRDefault="00F47341"/>
    <w:sectPr w:rsidR="00F47341" w:rsidRPr="00564ECD" w:rsidSect="00F4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ECD"/>
    <w:rsid w:val="00564ECD"/>
    <w:rsid w:val="00F4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CD"/>
    <w:pPr>
      <w:widowControl w:val="0"/>
      <w:jc w:val="both"/>
    </w:pPr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64E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642</Characters>
  <Application>Microsoft Office Word</Application>
  <DocSecurity>0</DocSecurity>
  <Lines>5</Lines>
  <Paragraphs>1</Paragraphs>
  <ScaleCrop>false</ScaleCrop>
  <Company>Sky123.Org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2019-12-16T02:09:00Z</dcterms:created>
  <dcterms:modified xsi:type="dcterms:W3CDTF">2019-12-16T02:09:00Z</dcterms:modified>
</cp:coreProperties>
</file>