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方正公文小标宋" w:hAnsi="方正公文小标宋" w:eastAsia="方正公文小标宋" w:cs="方正公文小标宋"/>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方正公文小标宋" w:hAnsi="方正公文小标宋" w:eastAsia="方正公文小标宋" w:cs="方正公文小标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长城发〔2025〕  号</w:t>
      </w: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r>
        <w:rPr>
          <w:rFonts w:hint="eastAsia" w:ascii="方正公文小标宋" w:hAnsi="方正公文小标宋" w:eastAsia="方正公文小标宋" w:cs="方正公文小标宋"/>
          <w:kern w:val="0"/>
          <w:sz w:val="44"/>
          <w:szCs w:val="44"/>
          <w:lang w:val="en-US" w:eastAsia="zh-CN"/>
        </w:rPr>
        <w:t>长治市城市管理局</w:t>
      </w: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r>
        <w:rPr>
          <w:rFonts w:hint="eastAsia" w:ascii="方正公文小标宋" w:hAnsi="方正公文小标宋" w:eastAsia="方正公文小标宋" w:cs="方正公文小标宋"/>
          <w:kern w:val="0"/>
          <w:sz w:val="44"/>
          <w:szCs w:val="44"/>
          <w:lang w:val="en-US" w:eastAsia="zh-CN"/>
        </w:rPr>
        <w:t>关于印发《长治市城市管理局领导干部应知应会党内法规和法律法规清单（2025版）》</w:t>
      </w: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r>
        <w:rPr>
          <w:rFonts w:hint="eastAsia" w:ascii="方正公文小标宋" w:hAnsi="方正公文小标宋" w:eastAsia="方正公文小标宋" w:cs="方正公文小标宋"/>
          <w:kern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公文小标宋" w:hAnsi="方正公文小标宋" w:eastAsia="方正公文小标宋" w:cs="方正公文小标宋"/>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机关各科室、市综合执法队、局属各中心、各企业：</w:t>
      </w:r>
    </w:p>
    <w:p>
      <w:pPr>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市委全面依法治市委员会《关于制定领导干部应知应会党内法规和法律法规清单的通知》（长法治发〔2024〕1号）通知精神，结合长治市领导干部应知应会党内法规和法律法规清单动态更新的情况，我局制定了《长治市城市管理局领导干部应知应会党内法规和法律法规清单（2025版）》，现印发给你们，请结合实际认真抓好贯彻落实。</w:t>
      </w:r>
    </w:p>
    <w:p>
      <w:pPr>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before="0" w:after="0" w:line="54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长治市城市管理局</w:t>
      </w:r>
    </w:p>
    <w:p>
      <w:pPr>
        <w:keepNext w:val="0"/>
        <w:keepLines w:val="0"/>
        <w:pageBreakBefore w:val="0"/>
        <w:widowControl w:val="0"/>
        <w:kinsoku/>
        <w:wordWrap/>
        <w:overflowPunct/>
        <w:topLinePunct w:val="0"/>
        <w:autoSpaceDE/>
        <w:autoSpaceDN/>
        <w:bidi w:val="0"/>
        <w:adjustRightInd/>
        <w:snapToGrid/>
        <w:spacing w:before="0" w:after="0" w:line="54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2025年12月1日</w:t>
      </w:r>
      <w:bookmarkStart w:id="2" w:name="_GoBack"/>
      <w:bookmarkEnd w:id="2"/>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（主动公开）</w:t>
      </w:r>
    </w:p>
    <w:p>
      <w:pPr>
        <w:rPr>
          <w:rFonts w:hint="eastAsia" w:ascii="方正公文小标宋" w:hAnsi="方正公文小标宋" w:eastAsia="方正公文小标宋" w:cs="方正公文小标宋"/>
          <w:sz w:val="36"/>
          <w:szCs w:val="36"/>
          <w:lang w:val="en-US" w:eastAsia="zh-CN"/>
        </w:rPr>
      </w:pPr>
      <w:r>
        <w:rPr>
          <w:rFonts w:hint="eastAsia" w:ascii="黑体" w:hAnsi="黑体" w:eastAsia="黑体" w:cs="黑体"/>
          <w:sz w:val="32"/>
          <w:szCs w:val="32"/>
          <w:lang w:val="en-US" w:eastAsia="zh-CN"/>
        </w:rPr>
        <w:t>附件：</w:t>
      </w:r>
      <w:bookmarkStart w:id="0" w:name="OLE_LINK2"/>
      <w:bookmarkStart w:id="1" w:name="OLE_LINK1"/>
    </w:p>
    <w:p>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长治市城市管理局领导干部</w:t>
      </w:r>
    </w:p>
    <w:p>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应知应会党内法规和法律法规清单（2025版）</w:t>
      </w:r>
    </w:p>
    <w:tbl>
      <w:tblPr>
        <w:tblStyle w:val="9"/>
        <w:tblpPr w:leftFromText="180" w:rightFromText="180" w:vertAnchor="page" w:horzAnchor="page" w:tblpX="1815" w:tblpY="4299"/>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5400"/>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00" w:type="dxa"/>
            <w:noWrap w:val="0"/>
            <w:vAlign w:val="top"/>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    型</w:t>
            </w:r>
          </w:p>
        </w:tc>
        <w:tc>
          <w:tcPr>
            <w:tcW w:w="5400" w:type="dxa"/>
            <w:noWrap w:val="0"/>
            <w:vAlign w:val="top"/>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学习内容</w:t>
            </w:r>
          </w:p>
        </w:tc>
        <w:tc>
          <w:tcPr>
            <w:tcW w:w="1636" w:type="dxa"/>
            <w:noWrap w:val="0"/>
            <w:vAlign w:val="top"/>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200" w:type="dxa"/>
            <w:gridSpan w:val="2"/>
            <w:noWrap w:val="0"/>
            <w:vAlign w:val="top"/>
          </w:tcPr>
          <w:p>
            <w:pPr>
              <w:jc w:val="center"/>
              <w:rPr>
                <w:rFonts w:hint="default" w:ascii="黑体" w:hAnsi="黑体" w:eastAsia="黑体" w:cs="黑体"/>
                <w:sz w:val="28"/>
                <w:szCs w:val="28"/>
                <w:vertAlign w:val="baseline"/>
                <w:lang w:val="en-US" w:eastAsia="zh-CN"/>
              </w:rPr>
            </w:pPr>
            <w:r>
              <w:rPr>
                <w:rFonts w:hint="eastAsia" w:ascii="楷体_GB2312" w:hAnsi="楷体_GB2312" w:eastAsia="楷体_GB2312" w:cs="楷体_GB2312"/>
                <w:b/>
                <w:bCs/>
                <w:sz w:val="28"/>
                <w:szCs w:val="28"/>
                <w:vertAlign w:val="baseline"/>
                <w:lang w:val="en-US" w:eastAsia="zh-CN"/>
              </w:rPr>
              <w:t>长治市共性学法清单</w:t>
            </w:r>
          </w:p>
        </w:tc>
        <w:tc>
          <w:tcPr>
            <w:tcW w:w="1636" w:type="dxa"/>
            <w:vMerge w:val="restart"/>
            <w:noWrap w:val="0"/>
            <w:vAlign w:val="center"/>
          </w:tcPr>
          <w:p>
            <w:pPr>
              <w:snapToGrid w:val="0"/>
              <w:spacing w:line="240" w:lineRule="auto"/>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1.列入各级党委（党组）理论学习中心组学习计划；</w:t>
            </w:r>
          </w:p>
          <w:p>
            <w:pPr>
              <w:snapToGrid w:val="0"/>
              <w:spacing w:line="240" w:lineRule="auto"/>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2.参加完成上级或本级组织的培训任务；</w:t>
            </w:r>
          </w:p>
          <w:p>
            <w:pPr>
              <w:snapToGrid w:val="0"/>
              <w:spacing w:line="240" w:lineRule="auto"/>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3.参加完成不定期的学习、培训、研讨班等；</w:t>
            </w:r>
          </w:p>
          <w:p>
            <w:pPr>
              <w:snapToGrid w:val="0"/>
              <w:spacing w:line="240" w:lineRule="auto"/>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4.利用学习强国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全国智慧普法依法治理云平台</w:t>
            </w:r>
            <w:r>
              <w:rPr>
                <w:rFonts w:hint="eastAsia" w:ascii="仿宋_GB2312" w:hAnsi="仿宋_GB2312" w:eastAsia="仿宋_GB2312" w:cs="仿宋_GB2312"/>
                <w:color w:val="000000"/>
                <w:sz w:val="21"/>
                <w:szCs w:val="21"/>
              </w:rPr>
              <w:t>等学习终端或平台完成相应的学习任务；</w:t>
            </w:r>
          </w:p>
          <w:p>
            <w:pPr>
              <w:jc w:val="both"/>
              <w:rPr>
                <w:rFonts w:hint="eastAsia" w:ascii="黑体" w:hAnsi="黑体" w:eastAsia="黑体" w:cs="黑体"/>
                <w:sz w:val="28"/>
                <w:szCs w:val="28"/>
                <w:vertAlign w:val="baseline"/>
                <w:lang w:val="en-US" w:eastAsia="zh-CN"/>
              </w:rPr>
            </w:pPr>
            <w:r>
              <w:rPr>
                <w:rFonts w:hint="eastAsia" w:ascii="仿宋_GB2312" w:hAnsi="仿宋_GB2312" w:eastAsia="仿宋_GB2312" w:cs="仿宋_GB2312"/>
                <w:color w:val="000000"/>
                <w:sz w:val="21"/>
                <w:szCs w:val="21"/>
              </w:rPr>
              <w:t>5.有条件的可以开发各类课件，创新学习方式手段。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800" w:type="dxa"/>
            <w:noWrap w:val="0"/>
            <w:vAlign w:val="center"/>
          </w:tcPr>
          <w:p>
            <w:pPr>
              <w:numPr>
                <w:ilvl w:val="0"/>
                <w:numId w:val="0"/>
              </w:numPr>
              <w:jc w:val="both"/>
              <w:rPr>
                <w:rFonts w:hint="eastAsia" w:ascii="仿宋_GB2312" w:hAnsi="仿宋_GB2312" w:eastAsia="仿宋_GB2312" w:cs="仿宋_GB2312"/>
                <w:b w:val="0"/>
                <w:bCs w:val="0"/>
                <w:vertAlign w:val="baseline"/>
                <w:lang w:val="en-US" w:eastAsia="zh-CN"/>
              </w:rPr>
            </w:pPr>
            <w:r>
              <w:rPr>
                <w:rFonts w:hint="eastAsia" w:ascii="仿宋_GB2312" w:hAnsi="仿宋_GB2312" w:eastAsia="仿宋_GB2312" w:cs="仿宋_GB2312"/>
                <w:b/>
                <w:bCs/>
                <w:vertAlign w:val="baseline"/>
                <w:lang w:val="en-US" w:eastAsia="zh-CN"/>
              </w:rPr>
              <w:t>习近平法治思想</w:t>
            </w:r>
          </w:p>
        </w:tc>
        <w:tc>
          <w:tcPr>
            <w:tcW w:w="5400" w:type="dxa"/>
            <w:noWrap w:val="0"/>
            <w:vAlign w:val="top"/>
          </w:tcPr>
          <w:p>
            <w:pPr>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论坚持全面依法治国</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习近平关于全面依法治国论述摘编</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习近平关于依规治党论述摘编</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习近平法治思想学习纲要</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习近平法治思想学习问答</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总体国家安全观学习纲要</w:t>
            </w:r>
            <w:r>
              <w:rPr>
                <w:rFonts w:hint="eastAsia" w:ascii="仿宋_GB2312" w:hAnsi="仿宋_GB2312" w:eastAsia="仿宋_GB2312" w:cs="仿宋_GB2312"/>
                <w:lang w:eastAsia="zh-CN"/>
              </w:rPr>
              <w:t>》。</w:t>
            </w:r>
          </w:p>
        </w:tc>
        <w:tc>
          <w:tcPr>
            <w:tcW w:w="1636" w:type="dxa"/>
            <w:vMerge w:val="continue"/>
            <w:noWrap w:val="0"/>
            <w:vAlign w:val="top"/>
          </w:tcPr>
          <w:p>
            <w:pPr>
              <w:rPr>
                <w:rFonts w:hint="eastAsia" w:ascii="仿宋_GB2312" w:hAnsi="仿宋_GB2312" w:eastAsia="仿宋_GB2312" w:cs="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vMerge w:val="restart"/>
            <w:noWrap w:val="0"/>
            <w:vAlign w:val="center"/>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党内法规</w:t>
            </w: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rPr>
                <w:rFonts w:hint="eastAsia" w:ascii="仿宋_GB2312" w:hAnsi="仿宋_GB2312" w:eastAsia="仿宋_GB2312" w:cs="仿宋_GB2312"/>
                <w:b/>
                <w:bCs/>
                <w:vertAlign w:val="baseline"/>
                <w:lang w:val="en-US" w:eastAsia="zh-CN"/>
              </w:rPr>
            </w:pPr>
          </w:p>
          <w:p>
            <w:pPr>
              <w:pStyle w:val="2"/>
              <w:ind w:left="0" w:leftChars="0" w:firstLine="0" w:firstLineChars="0"/>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党内法规</w:t>
            </w:r>
          </w:p>
          <w:p>
            <w:pPr>
              <w:pStyle w:val="2"/>
              <w:rPr>
                <w:rFonts w:hint="eastAsia" w:ascii="仿宋_GB2312" w:hAnsi="仿宋_GB2312" w:eastAsia="仿宋_GB2312" w:cs="仿宋_GB2312"/>
                <w:b/>
                <w:bCs/>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（一）</w:t>
            </w:r>
            <w:r>
              <w:rPr>
                <w:rFonts w:hint="eastAsia" w:ascii="仿宋_GB2312" w:hAnsi="仿宋_GB2312" w:eastAsia="仿宋_GB2312" w:cs="仿宋_GB2312"/>
                <w:b w:val="0"/>
                <w:bCs w:val="0"/>
                <w:sz w:val="21"/>
                <w:szCs w:val="21"/>
                <w:vertAlign w:val="baseline"/>
                <w:lang w:eastAsia="zh-CN"/>
              </w:rPr>
              <w:t>《</w:t>
            </w:r>
            <w:r>
              <w:rPr>
                <w:rFonts w:hint="eastAsia" w:ascii="仿宋_GB2312" w:hAnsi="仿宋_GB2312" w:eastAsia="仿宋_GB2312" w:cs="仿宋_GB2312"/>
                <w:b w:val="0"/>
                <w:bCs w:val="0"/>
                <w:sz w:val="21"/>
                <w:szCs w:val="21"/>
                <w:vertAlign w:val="baseline"/>
                <w:lang w:val="en-US" w:eastAsia="zh-CN"/>
              </w:rPr>
              <w:t>中国共产党章程</w:t>
            </w:r>
            <w:r>
              <w:rPr>
                <w:rFonts w:hint="eastAsia" w:ascii="仿宋_GB2312" w:hAnsi="仿宋_GB2312" w:eastAsia="仿宋_GB2312" w:cs="仿宋_GB2312"/>
                <w:b w:val="0"/>
                <w:bCs w:val="0"/>
                <w:sz w:val="21"/>
                <w:szCs w:val="21"/>
                <w:vertAlign w:val="baseline"/>
                <w:lang w:eastAsia="zh-CN"/>
              </w:rPr>
              <w:t>》。</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党的组织法规。</w:t>
            </w:r>
            <w:r>
              <w:rPr>
                <w:rFonts w:hint="eastAsia" w:ascii="仿宋_GB2312" w:hAnsi="仿宋_GB2312" w:eastAsia="仿宋_GB2312" w:cs="仿宋_GB2312"/>
                <w:b w:val="0"/>
                <w:bCs w:val="0"/>
                <w:sz w:val="21"/>
                <w:szCs w:val="21"/>
                <w:vertAlign w:val="baseline"/>
                <w:lang w:eastAsia="zh-CN"/>
              </w:rPr>
              <w:t>《中国共产党中央委员会工作条例》《中国共产党地方委员会工作条例》《中国共产党党组工作条例》《中国共产党纪律检查委员会工作条例》《中国共产党工作机关条例(试行)》《中国共产党组织工作条例》《中国共产党支部工作条例(试行)》《中国共产党党和国家机关基层组织工作条例》《中国共产党农村基层组织工作条例》《中国共产党国有企业基层组织工作条例》《中国共产党普通高等学校基层组织工作条例》《中国共产党地方组织选举工作条例》《中国共产党基层组织选举工作条例》《党政领导干部选拔任用工作条例》《推进领导干部能上能下规定》。</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党的领导法规。《中国共产党农村工作条例》《中国共产党统一战线工作条例》《中国共产党政治协商工作条例》《中国共产党领导国家安全工作条例》《中国共产党政法工作条例》《中国共产党机构编制工作条例》《信访工作条例》《地方党政领导干部安全生产责任制规定》。</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四）党的自身建设法规。《关于新形势下党内政治生活的若干准则》《中国共产党廉洁自律准则》《中国共产党党务公开条例》《中国共产党重大事项请示报告条例》《中国共产党党员教育管理工作条例》《党政机关厉行节约反对浪费条例》《干部教育培训工作条例》《党史学习教育工作条例》《党委(党组)落实全面从严治党主体责任规定》《中国共产党党员网络行为规定》《农村基层干部廉洁履行职责规定》《党委(党组)国家安全责任制规定》《十八届中央政治局关于改进工作作风、密切联系群众的八项规定》《党委(党组)网络安全工作责任制实施办法》《中国共产党党委(党组)理论学习中心组学习规则》《中央八项规定实施细则》《党委(党组)网络意识形态工作责任制实施细则》《中国共产党发展党员工作细则》。</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（五）党的监督保障法规。《中国共产党党内监督条例》《中国共产党巡视工作条例》《党政领导干部考核工作条例》《中国共产党问责条例》《中国共产党纪律处分条例》</w:t>
            </w:r>
          </w:p>
          <w:p>
            <w:pPr>
              <w:numPr>
                <w:ilvl w:val="0"/>
                <w:numId w:val="0"/>
              </w:numP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中国共产党党员权利保障条例》《中国共产党党内法规执行责任制规定(试行)》《中国共产党组织处理规定(试行)》《被巡视党组织配合巡视工作规定》《党组讨论和决定党员处分事项工作程序规定》《领导干部报告个人有关事项规定》《党政主要领导干部和国有企事业单位主要领导人员经济责任审计规定》《中国共产党纪律检查机关监督执纪工作规则》。</w:t>
            </w:r>
          </w:p>
          <w:p>
            <w:pPr>
              <w:numPr>
                <w:ilvl w:val="0"/>
                <w:numId w:val="0"/>
              </w:num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六）省委党内法规。《中共山西省委机构编制管理规定》《山西省贯彻落实〈中国共产党农村工作条例〉实施办法》《山西省贯彻落实〈地方党政领导干部安全生产责任制规定〉实施细则》《山西省乡村振兴责任制实施细则》。</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trPr>
        <w:tc>
          <w:tcPr>
            <w:tcW w:w="1800" w:type="dxa"/>
            <w:vMerge w:val="restart"/>
            <w:noWrap w:val="0"/>
            <w:vAlign w:val="center"/>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法律法规</w:t>
            </w: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1071245</wp:posOffset>
                      </wp:positionH>
                      <wp:positionV relativeFrom="paragraph">
                        <wp:posOffset>122555</wp:posOffset>
                      </wp:positionV>
                      <wp:extent cx="3457575" cy="12700"/>
                      <wp:effectExtent l="0" t="4445" r="9525" b="11430"/>
                      <wp:wrapNone/>
                      <wp:docPr id="4" name="直接连接符 4"/>
                      <wp:cNvGraphicFramePr/>
                      <a:graphic xmlns:a="http://schemas.openxmlformats.org/drawingml/2006/main">
                        <a:graphicData uri="http://schemas.microsoft.com/office/word/2010/wordprocessingShape">
                          <wps:wsp>
                            <wps:cNvCnPr/>
                            <wps:spPr>
                              <a:xfrm>
                                <a:off x="2270760" y="8842375"/>
                                <a:ext cx="345757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35pt;margin-top:9.65pt;height:1pt;width:272.25pt;z-index:251659264;mso-width-relative:page;mso-height-relative:page;" filled="f" stroked="t" coordsize="21600,21600" o:gfxdata="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4aEeNcAAAAJAQAADwAAAAAAAAABACAAAAAiAAAAZHJzL2Rvd25yZXYueG1sUEsBAhQA&#10;FAAAAAgAh07iQFF5rT3zAQAAwQMAAA4AAAAAAAAAAQAgAAAAJgEAAGRycy9lMm9Eb2MueG1sUEsF&#10;BgAAAAAGAAYAWQEAAIsFAAAAAA==&#10;">
                      <v:fill on="f" focussize="0,0"/>
                      <v:stroke weight="0.5pt" color="#000000 [3213]" miterlimit="8" joinstyle="miter"/>
                      <v:imagedata o:title=""/>
                      <o:lock v:ext="edit" aspectratio="f"/>
                    </v:line>
                  </w:pict>
                </mc:Fallback>
              </mc:AlternateContent>
            </w: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default" w:ascii="仿宋_GB2312" w:hAnsi="仿宋_GB2312" w:eastAsia="仿宋_GB2312" w:cs="仿宋_GB2312"/>
                <w:b/>
                <w:bCs/>
                <w:sz w:val="21"/>
                <w:szCs w:val="21"/>
                <w:vertAlign w:val="baseline"/>
                <w:lang w:val="en-US" w:eastAsia="zh-CN"/>
              </w:rPr>
            </w:pPr>
            <w:r>
              <w:rPr>
                <w:rFonts w:hint="default" w:ascii="仿宋_GB2312" w:hAnsi="仿宋_GB2312" w:eastAsia="仿宋_GB2312" w:cs="仿宋_GB2312"/>
                <w:b/>
                <w:bCs/>
                <w:sz w:val="21"/>
                <w:szCs w:val="21"/>
                <w:vertAlign w:val="baseline"/>
                <w:lang w:val="en-US" w:eastAsia="zh-CN"/>
              </w:rPr>
              <w:t>法律法规</w:t>
            </w:r>
          </w:p>
          <w:p>
            <w:pPr>
              <w:jc w:val="center"/>
              <w:rPr>
                <w:rFonts w:hint="eastAsia"/>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both"/>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法律法规</w:t>
            </w: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一）宪法及宪法相关法。《中华人民共和国宪法》《中华人民共和国全国人民代表大会组织法》《中华人民共和国国务院组织法》《中华人民共和国监察法》《中华人民共和国地方各级人民代表大会和地方各级人民政府组织法》《中华人民共和国人民法院组织法》《中华人民共和国法官法》《中华人民共和国人民检察院组织法》《中华人民共和国检察官法》《中华人民共和国民族区域自治法》《中华人民共和国立法法》《反分裂国家法》《中华人民共和国香港特别行政区基本法》《中华人民共和国香港特别行政区维护国家安全法》《中华人民共和国澳门特别行政区基本法》。</w:t>
            </w:r>
          </w:p>
        </w:tc>
        <w:tc>
          <w:tcPr>
            <w:tcW w:w="1636" w:type="dxa"/>
            <w:vMerge w:val="restart"/>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ind w:firstLine="420" w:firstLineChars="200"/>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二）国家安全法律。《中华人民共和国国家安全法》《中华人民共和国国防法》《中华人民共和国保守国家秘密法》《中华人民共和国网络安全法》《中华人民共和国生物安全法》《中华人民共和国突发事件应对法》《中华人民共和国反恐怖主义法》《中华人民共和国反间谍法》《中华人民共和国数据安全法》《中华人民共和国密码法》《中华人民共和国保守国家秘密法实施条例》。</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center"/>
          </w:tcPr>
          <w:p>
            <w:pPr>
              <w:numPr>
                <w:ilvl w:val="0"/>
                <w:numId w:val="0"/>
              </w:numPr>
              <w:ind w:left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（三）《中华人民共和国民法典》。</w:t>
            </w:r>
          </w:p>
          <w:p>
            <w:pPr>
              <w:pStyle w:val="2"/>
              <w:widowControl w:val="0"/>
              <w:numPr>
                <w:ilvl w:val="0"/>
                <w:numId w:val="0"/>
              </w:numPr>
              <w:spacing w:after="120" w:afterLines="0" w:afterAutospacing="0"/>
              <w:jc w:val="both"/>
              <w:rPr>
                <w:rFonts w:hint="eastAsia"/>
                <w:lang w:val="en-US" w:eastAsia="zh-CN"/>
              </w:rPr>
            </w:pPr>
          </w:p>
          <w:p>
            <w:pPr>
              <w:pStyle w:val="2"/>
              <w:widowControl w:val="0"/>
              <w:numPr>
                <w:ilvl w:val="0"/>
                <w:numId w:val="0"/>
              </w:numPr>
              <w:spacing w:after="120" w:afterLines="0" w:afterAutospacing="0"/>
              <w:jc w:val="both"/>
              <w:rPr>
                <w:rFonts w:hint="eastAsia" w:ascii="Calibri" w:hAnsi="Calibri" w:eastAsia="宋体" w:cs="Times New Roman"/>
                <w:kern w:val="2"/>
                <w:sz w:val="21"/>
                <w:szCs w:val="24"/>
                <w:lang w:val="en-US" w:eastAsia="zh-CN" w:bidi="ar-SA"/>
              </w:rPr>
            </w:pPr>
            <w:r>
              <w:rPr>
                <w:rFonts w:hint="eastAsia"/>
                <w:lang w:val="en-US" w:eastAsia="zh-CN"/>
              </w:rPr>
              <w:t xml:space="preserve">    </w:t>
            </w:r>
            <w:r>
              <w:rPr>
                <w:rFonts w:hint="eastAsia" w:ascii="仿宋_GB2312" w:hAnsi="仿宋_GB2312" w:eastAsia="仿宋_GB2312" w:cs="仿宋_GB2312"/>
                <w:lang w:val="en-US" w:eastAsia="zh-CN"/>
              </w:rPr>
              <w:t>（四）</w:t>
            </w:r>
            <w:r>
              <w:rPr>
                <w:rFonts w:hint="eastAsia" w:ascii="仿宋_GB2312" w:hAnsi="仿宋_GB2312" w:eastAsia="仿宋_GB2312" w:cs="仿宋_GB2312"/>
                <w:b w:val="0"/>
                <w:bCs w:val="0"/>
                <w:sz w:val="21"/>
                <w:szCs w:val="21"/>
                <w:vertAlign w:val="baseline"/>
                <w:lang w:val="en-US" w:eastAsia="zh-CN"/>
              </w:rPr>
              <w:t>推动高质量发展相关法律。《中华人民共和国科学技术普及法》《中华人民共和国科学技术进步法》《中华人民共和国促进科技成果转化法》《中华人民共和国著作权法》《中华人民共和国标准化法》《中华人民共和国公司法》《中华人民共和国企业国有资产法》《中华人民共和国劳动法》《中华人民共和国就业促进法》《中华人民共和国社会保险法》《中华人民共和国安全生产法》《中华人民共和国循环经济促进法》《中华人民共和国乡村振兴促进法》《中华人民共和国民营经济促进法》《中华人民共和国中小企业促进法》《中华人民共和国农村集体经济组织法》《中华人民共和国水法》《中华人民共和国能源法》《中华人民共和国矿产资源法》《中华人民共和国土地管理法》《中华人民共和国粮食安全保障法》《中华人民共和国环境保护法》《中华人民共和国黄河保护法》《中华人民共和国预算法》《中华人民共和国审计法》《中华人民共和国统计法》《中华人民共和国招标投标法》《中华人民共和国政府采购法》《中华人民共和国反洗钱法》《优化营商环境条例》《保障中小企业款项支付条例》《公平竞争审查条例》《防范和处置非法集资条例》《政府投资条例》。</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（五）刑法和公职人员政务处分法。《中华人民共和国刑法》《中华人民共和国公职人员政务处分法》《中华人民共和国反有组织犯罪法》《国有企业管理人员处分条例》。</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六）行政法律。《中华人民共和国行政许可法》《中华人民共和国行政处罚法》《中华人民共和国行政强制法》《中华人民共和国行政复议法》《中华人民共和国行政诉讼法》《中华人民共和国国家赔偿法》《中华人民共和国公务员法》。</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9"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vMerge w:val="restart"/>
            <w:noWrap w:val="0"/>
            <w:vAlign w:val="top"/>
          </w:tcPr>
          <w:p>
            <w:pPr>
              <w:numPr>
                <w:ilvl w:val="0"/>
                <w:numId w:val="2"/>
              </w:num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其他法律法规。《中华人民共和国法治宣传教育法》《中华人民共和国档案法》《中华人民共和国国防动员法》《中华人民共和国人民防空法》《中华人民共和国军事设施保护法》《中华人民共和国兵役法》《中华人民共和国军人地位和权益保障法》《中华人民共和国退役军人保障法》《中华人民共和国英雄烈士保护法》《中华人民共和国消防法》《中华人民共和国防震减灾法》《中华人民共和</w:t>
            </w:r>
          </w:p>
          <w:p>
            <w:pPr>
              <w:numPr>
                <w:ilvl w:val="0"/>
                <w:numId w:val="0"/>
              </w:numP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国文物保护法》《中华人民共和国个人信息保护法》《中华人民共和国家庭教育促进法》《中华人民共和国反家庭暴力法》《中华人民共和国妇女权益保障法》《中华人民共和国未成年人保护法》《中华人民共和国预防未成年人犯罪法》《中华人民共和国消费者权益保护法》《中华人民共和国台湾同胞投资保护法》《中华人民共和国归侨侨眷权益保护法》《中华人民共和国人民警察法》《中华人民共和国禁毒法》《中华人民共和国治安管理处罚法》《中华人民共和国工会法》《中华人民共和国法律援助法》《中华人民共和国对外关系法》《中华人民共和国对外贸易法》《中华人民共和国外商投资法》《中华人民共和国反外国制裁法》《中华人民共和国出境入境管理法》《中华人民共和国监察法实施条例》《中华人民共和国政府信息公开条例》《中华人民共和国外商投资法实施条例》《政务数据共享条例》《网络数据安全管理条例》《法规规章备案审查条例》《重大行政决策程序暂行条例》《重要军工设施保护条例》</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1800" w:type="dxa"/>
            <w:vMerge w:val="continue"/>
            <w:noWrap w:val="0"/>
            <w:vAlign w:val="center"/>
          </w:tcPr>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tc>
        <w:tc>
          <w:tcPr>
            <w:tcW w:w="5400"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c>
          <w:tcPr>
            <w:tcW w:w="1636" w:type="dxa"/>
            <w:vMerge w:val="restart"/>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6"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ind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八）山西省有关条例。《山西省科学技术进步条例》《山西省科技创新促进条例》《山西省知识产权保护工作条例》《山西省优化营商环境条例》《山西省促进中小企业发展条例》《山西省创新驱动高质量发展条例》《山西省高新技术产业发展条例》《山西省制造业高质量发展促进条例》《山西省民营经济发展促进条例》《山西省乡村振兴促进条例》《山西省就业促进条例》《山西省旅游发展促进条例》《山西省数字经济促进条例》《山西省大数据发展应用促进条例》《山西省外来投资促进条例》《山西省开发区条例》《山西省节约能源条例》《山西省环境保护条例》《山西省黄河流域生态保护和高质量发展条例》《山西省汾河保护条例》《山西省文物保护条例》《山西省安全生产条例》《山西省平安建设条例》《山西省社会信用条例》《山西省行政执法条例》《山西省宗教事务条例》《山西省防震减灾条例》《山西省消防条例》《山西省绿色建筑发展条例》《山西省通信设施建设与保护条例》《山西省地方立法条例》《山西省预算审查监督条例》《山西省一枚印章管审批条例》《山西省机关运行保障条例》。</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800" w:type="dxa"/>
            <w:vMerge w:val="continue"/>
            <w:noWrap w:val="0"/>
            <w:vAlign w:val="center"/>
          </w:tcPr>
          <w:p>
            <w:pPr>
              <w:jc w:val="both"/>
              <w:rPr>
                <w:rFonts w:hint="eastAsia" w:ascii="仿宋_GB2312" w:hAnsi="仿宋_GB2312" w:eastAsia="仿宋_GB2312" w:cs="仿宋_GB2312"/>
                <w:b w:val="0"/>
                <w:bCs w:val="0"/>
                <w:sz w:val="21"/>
                <w:szCs w:val="21"/>
                <w:vertAlign w:val="baseline"/>
                <w:lang w:val="en-US" w:eastAsia="zh-CN"/>
              </w:rPr>
            </w:pPr>
          </w:p>
        </w:tc>
        <w:tc>
          <w:tcPr>
            <w:tcW w:w="5400" w:type="dxa"/>
            <w:noWrap w:val="0"/>
            <w:vAlign w:val="top"/>
          </w:tcPr>
          <w:p>
            <w:pPr>
              <w:numPr>
                <w:ilvl w:val="0"/>
                <w:numId w:val="0"/>
              </w:num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长治市地方性法规。《长治市地方立法条例》《长治市辛安泉饮用水水源地保护条例》《长治市禁止燃放烟花爆竹规定》《长治市养犬管理条例》《长治市大气污染防治条例》《长治市不可移动文物保护条例》《长治市城市绿化条例》《长治市红色文化遗址保护利用条例》《长治市生活垃圾分类管理条例》《长治市文明行为促进条例》《长治市城市照明管理条例》《长治市沁河流域生态修复与保护条例》《长治市农村自建房管理条例》《长治市电动车管理条例》《长治市国家湿地公园保护条例》《长治市漳河流域生态修复与保护条例》《长治市漳泽湖生态保护与修复条例》《长治市海绵城市建设管理条例》《长治市电梯安全管理条例》《长治市见义勇为人员奖励和保障条例》《长治市中小学校幼儿园规划建设条例》。</w:t>
            </w:r>
          </w:p>
          <w:p>
            <w:pPr>
              <w:pStyle w:val="2"/>
              <w:numPr>
                <w:ilvl w:val="0"/>
                <w:numId w:val="0"/>
              </w:numPr>
              <w:ind w:leftChars="200"/>
              <w:rPr>
                <w:rFonts w:hint="eastAsia"/>
                <w:lang w:val="en-US" w:eastAsia="zh-CN"/>
              </w:rPr>
            </w:pP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200" w:type="dxa"/>
            <w:gridSpan w:val="2"/>
            <w:noWrap w:val="0"/>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楷体_GB2312" w:hAnsi="楷体_GB2312" w:eastAsia="楷体_GB2312" w:cs="楷体_GB2312"/>
                <w:b/>
                <w:bCs/>
                <w:sz w:val="28"/>
                <w:szCs w:val="28"/>
                <w:vertAlign w:val="baseline"/>
                <w:lang w:val="en-US" w:eastAsia="zh-CN"/>
              </w:rPr>
              <w:t>城市管理系统个性学法清单</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1800" w:type="dxa"/>
            <w:vMerge w:val="restart"/>
            <w:noWrap w:val="0"/>
            <w:vAlign w:val="center"/>
          </w:tcPr>
          <w:p>
            <w:pPr>
              <w:pStyle w:val="2"/>
              <w:rPr>
                <w:rFonts w:hint="default" w:ascii="仿宋_GB2312" w:hAnsi="仿宋_GB2312" w:eastAsia="仿宋_GB2312" w:cs="仿宋_GB2312"/>
                <w:b/>
                <w:bCs/>
                <w:sz w:val="21"/>
                <w:szCs w:val="21"/>
                <w:vertAlign w:val="baseline"/>
                <w:lang w:val="en-US" w:eastAsia="zh-CN"/>
              </w:rPr>
            </w:pPr>
          </w:p>
        </w:tc>
        <w:tc>
          <w:tcPr>
            <w:tcW w:w="5400" w:type="dxa"/>
            <w:noWrap w:val="0"/>
            <w:vAlign w:val="center"/>
          </w:tcPr>
          <w:p>
            <w:pPr>
              <w:ind w:firstLine="420" w:firstLineChars="20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结合城市管理系统工作实际，学习城市管理领域相关法律法规。城市管理系统个性法律法规如下：</w:t>
            </w:r>
          </w:p>
          <w:p>
            <w:pPr>
              <w:ind w:firstLine="420" w:firstLineChars="20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一）法律。《中华人民共和国建筑法》《中华人民共和国城市房地产管理法》《中华人民共和国大气污染防治法》《中华人民共和国固体废物污染环境防治法》《中华人民共和国安全生产法》《中华人民共和国消防法》《中华人民共和国道路交通安全法》《中华人民共和国噪声污染防治法》《中华人民共和国招标投标法》《中华人民共和国节约能源法《中华人民共和国标准化法》《中华人民共和国反垄断法》《中华人民共和国防震减灾法》《中华人民共和国水污染防治法》《中华人民共和国文物保护法》等。</w:t>
            </w:r>
          </w:p>
          <w:p>
            <w:pPr>
              <w:ind w:firstLine="420" w:firstLineChars="20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二）行政法规。《中华人民共和国行政复议法实施条例》《中华人民共和国标准化法实施条例》《公共机构节能条例》《城市市容和环境卫生管理条例》《城市绿化条例》《城市道路管理条例》《城镇燃气管理条例》《城市供水条例》《城镇排水与污水处理条例》《历史文化名城名镇名村保护条例》《中华人民共和国注册建筑师条例》《建设工程质量管理条例》《建设工程勘察设计管理条例》《建设工程安全生产管理条例》《安全生产许可证条例》《生产安全事故报告和调查处理条例》《中华人民共和国招标投标法实施条例》《民用建筑节能条例》《建设工程抗震管理条例》《城市房地产开发经营管理条例》《住房公积金管理条例》</w:t>
            </w:r>
          </w:p>
          <w:p>
            <w:pPr>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《物业管理条例》《国有土地上房屋征收与补偿条例》等。</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800" w:type="dxa"/>
            <w:vMerge w:val="continue"/>
            <w:noWrap w:val="0"/>
            <w:vAlign w:val="center"/>
          </w:tcPr>
          <w:p>
            <w:pPr>
              <w:jc w:val="center"/>
              <w:rPr>
                <w:rFonts w:hint="eastAsia" w:ascii="仿宋_GB2312" w:hAnsi="仿宋_GB2312" w:eastAsia="仿宋_GB2312" w:cs="仿宋_GB2312"/>
                <w:b/>
                <w:bCs/>
                <w:sz w:val="28"/>
                <w:szCs w:val="28"/>
                <w:vertAlign w:val="baseline"/>
                <w:lang w:val="en-US" w:eastAsia="zh-CN"/>
              </w:rPr>
            </w:pPr>
          </w:p>
        </w:tc>
        <w:tc>
          <w:tcPr>
            <w:tcW w:w="5400" w:type="dxa"/>
            <w:noWrap w:val="0"/>
            <w:vAlign w:val="center"/>
          </w:tcPr>
          <w:p>
            <w:pPr>
              <w:numPr>
                <w:ilvl w:val="0"/>
                <w:numId w:val="0"/>
              </w:numPr>
              <w:tabs>
                <w:tab w:val="left" w:pos="2687"/>
              </w:tabs>
              <w:bidi w:val="0"/>
              <w:ind w:firstLine="42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部门规章。《住房城乡建设领域违法违规行为举报管理办法》《住房和城乡建设行政处罚程序规定》《城市管理执法办法》《生活饮用水卫生监督管理办法》《城市桥梁检测和养护维修管理办法》《市政公用事业特许经营管理办法》《城市建筑垃圾管理规定》《城市供水水质管理规定》《城市节约用水管理规定》《城镇污水排入排水管网许可管理办法》《城市生活垃圾管理办法》《城市照明管理规定》《城市公厕管理办法》《城市动物园管理规定》《城市房屋便器水箱应用监督管理办法》《城市地下空间开发利用管理规定》《城市紫线管理办法》《城市黄线管理办法》《城市蓝线管理办法》《城市绿线管理办法》《历史文化名城名镇名村街区保护规划编制办法》《建筑工程施工许可管理办法》《工程建设国家标准管理办法》《工程建设行业标准管理办法》《房屋建筑工程质量保修办法》《实施工程建设强制性标准监督规定》《建筑工程设计招标投标管理办法》《工程建设项目施工招标投标办法》《工程建设项目勘察设计招标投标办法》《建设工程监理范围和规模标准规定》《建筑工程施工发包与承包计价管理办法》《建筑施工企业安全生产许可证管理规定》《建设工程质量检测管理办法》《超限高层建筑工程抗震设防管理规定》《房屋建筑和市政基础设施工程施工招标投标管理办法》《房屋建筑和市政基础设施工程施工图设计文件审查管理办法》《房屋建筑和市政基础设施工程施工分包管理办法》《房屋建筑和市政基础设施工程质量监督管理规定》《房屋建筑和市政基础设施工程竣工验收备案管理办法》《城市建设档案管理规定》《城市地下管线工程档案管理办法》《民用建筑节能管理规定》《房屋建筑工程抗震设防管理规定》《注册建造师管理规定》《注册监理工程师管理规定》</w:t>
            </w:r>
          </w:p>
          <w:p>
            <w:pPr>
              <w:numPr>
                <w:ilvl w:val="0"/>
                <w:numId w:val="0"/>
              </w:numPr>
              <w:tabs>
                <w:tab w:val="left" w:pos="2687"/>
              </w:tabs>
              <w:bidi w:val="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勘察设计注册工程师管理规定》《注册造价工程师管理办法》《工程造价咨询企业管理办法》《工程监理企业资质管理规定》《建筑业企业资质管理规定》《建设工程勘察设计资质管理规定》《建设工程勘察质量管理办法》《建筑起重机械安全监督管理规定》《市政公用设施抗灾设防管理规定》《住宅室内装饰装修管理办法》《建设领域推广应用新技术管理规定》《建筑施工企业主要负责人、项目负责人和专职安全生产管理人员安全生产管理规定》《危险性较大的分部分项工程安全管理规定》《建设工程消防设计审查验收管理暂行规定》《中华人民共和国注册建筑师条例实施细则》《已购公有住房和经济适用住房上市出售管理暂行办法》《房地产开发企业资质管理规定》《房产测绘管理办法》《商品房销售管理办法》《城市房地产转让管理规定》《城市房地产抵押管理办法》《城市房地产权属档案管理办法》《城市危险房屋管理规定》《城市房屋白蚁防治管理规定》《城市商品房预售管理办法》《房地产估价机构管理办法》《注册房地产估价师管理办法》《廉租住房保障办法》《住宅专项维修资金管理办法》《商品房屋租赁管理办法》《房地产经纪管理办法》《城市居民住宅安全防范设施建设管理规定》《公共租赁住房管理办法》</w:t>
            </w:r>
          </w:p>
          <w:p>
            <w:pPr>
              <w:pStyle w:val="2"/>
              <w:ind w:left="0" w:leftChars="0" w:firstLine="420" w:firstLineChars="20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四）山西省地方性法规。《山西省行政执法条例》《山西省突发事件应对条例》《山西省城乡环境综合治理条例》《山西省历史文化名城名镇名村保护条例》《山西省传统村落保护条例》《山西省一枚印章管审批条例》《山西省企业投资项目承诺制规定》《山西省消防条例》《山西省安全生产条例》《山西省标准化条例》《山西省大气污染防治条例》《山西省减少污染物排放条例》《山西省固体废物污染环境防治条例》《山西省城市供水和节约用水管理条例》《山西省节约用水条例》《山西省燃气管理条例》《山西省湿地保护条例》《山西省城乡垃圾管理条例》《山西省禁止公共场所随地吐痰的规定》《山西省建筑市场管理条例》《山西省建筑工程质量和建筑安全生产管理条例》《山西省建设工程勘察设计管理条例》《山西省民用建筑节能条例》《山西省绿色建筑发展条例》《山西省建设工程抗震设防条例》《山西省工程建设项目招标投标条例》《山西省城市房地产交易管理条例》《山西省物业管理条例》《山西省国有土地上房屋征收与补偿条例》等。</w:t>
            </w:r>
          </w:p>
        </w:tc>
        <w:tc>
          <w:tcPr>
            <w:tcW w:w="1636" w:type="dxa"/>
            <w:vMerge w:val="continue"/>
            <w:noWrap w:val="0"/>
            <w:vAlign w:val="top"/>
          </w:tcPr>
          <w:p>
            <w:pPr>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1800" w:type="dxa"/>
            <w:vMerge w:val="continue"/>
            <w:noWrap w:val="0"/>
            <w:vAlign w:val="center"/>
          </w:tcPr>
          <w:p>
            <w:pPr>
              <w:jc w:val="center"/>
              <w:rPr>
                <w:rFonts w:hint="eastAsia" w:ascii="仿宋_GB2312" w:hAnsi="仿宋_GB2312" w:eastAsia="仿宋_GB2312" w:cs="仿宋_GB2312"/>
                <w:b/>
                <w:bCs/>
                <w:sz w:val="28"/>
                <w:szCs w:val="28"/>
                <w:vertAlign w:val="baseline"/>
                <w:lang w:val="en-US" w:eastAsia="zh-CN"/>
              </w:rPr>
            </w:pPr>
          </w:p>
        </w:tc>
        <w:tc>
          <w:tcPr>
            <w:tcW w:w="5400" w:type="dxa"/>
            <w:noWrap w:val="0"/>
            <w:vAlign w:val="center"/>
          </w:tcPr>
          <w:p>
            <w:pPr>
              <w:numPr>
                <w:ilvl w:val="0"/>
                <w:numId w:val="0"/>
              </w:numPr>
              <w:tabs>
                <w:tab w:val="left" w:pos="2687"/>
              </w:tabs>
              <w:bidi w:val="0"/>
              <w:ind w:firstLine="420" w:firstLineChars="20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lang w:val="en-US" w:eastAsia="zh-CN"/>
              </w:rPr>
              <w:t>（五）山西省政府规章。《山西省行政规范性文件制定与监督管理办法》《山西省重大行政处罚决定备案办法》《山西省行政执法责任制规定》《山西省生产经营单位主要负责人安全生产责任制规定》《山西省规范行政执法裁量权办法》《山西省实施〈城市节约用水管理规定〉办法》《山西省城市市容和环境卫生管理实施办法》《山西省城市绿化办法》《山西省城乡燃气使用安全管理规定》《山西省城市生活垃圾分类管理规定》《山西省实施&lt;中华人民共和国道路交通安全法&gt;办法》《山西省城市建设档案管理办法》《山西省消防安全责任制实施办法》等。</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1800" w:type="dxa"/>
            <w:vMerge w:val="continue"/>
            <w:noWrap w:val="0"/>
            <w:vAlign w:val="center"/>
          </w:tcPr>
          <w:p>
            <w:pPr>
              <w:jc w:val="center"/>
              <w:rPr>
                <w:rFonts w:hint="eastAsia" w:ascii="仿宋_GB2312" w:hAnsi="仿宋_GB2312" w:eastAsia="仿宋_GB2312" w:cs="仿宋_GB2312"/>
                <w:b/>
                <w:bCs/>
                <w:sz w:val="28"/>
                <w:szCs w:val="28"/>
                <w:vertAlign w:val="baseline"/>
                <w:lang w:val="en-US" w:eastAsia="zh-CN"/>
              </w:rPr>
            </w:pPr>
          </w:p>
        </w:tc>
        <w:tc>
          <w:tcPr>
            <w:tcW w:w="5400" w:type="dxa"/>
            <w:noWrap w:val="0"/>
            <w:vAlign w:val="center"/>
          </w:tcPr>
          <w:p>
            <w:pPr>
              <w:numPr>
                <w:ilvl w:val="0"/>
                <w:numId w:val="0"/>
              </w:numPr>
              <w:ind w:firstLine="420" w:firstLineChars="200"/>
              <w:jc w:val="both"/>
              <w:rPr>
                <w:rFonts w:hint="eastAsia"/>
                <w:lang w:val="en-US" w:eastAsia="zh-CN"/>
              </w:rPr>
            </w:pPr>
            <w:r>
              <w:rPr>
                <w:rFonts w:hint="eastAsia" w:ascii="仿宋_GB2312" w:hAnsi="仿宋_GB2312" w:eastAsia="仿宋_GB2312" w:cs="仿宋_GB2312"/>
                <w:lang w:val="en-US" w:eastAsia="zh-CN"/>
              </w:rPr>
              <w:t>（六）长治市相关地方性法规。《长治市生活垃圾分类管理条例》《长治市城市绿化条例》《长治市大气污染防治条例》《长治市养犬管理条例》《长治市城市照明管理条例》《长治市辛安泉饮用水水源地保护条例》《长治市文明行为促进条例》《长治市禁止燃放烟花爆竹规定》《长治市沁河流域生态修复与保护条例》《长治市农村自建房管理条例》《长治市电动车管理条例》《长治市国家湿地公园保护条例》《长治市漳河流域生态修复与保护条例》《长治市漳泽湖生态保护与修复条例》《长治市海绵城市建设管理条例》《长治市电梯安全管理条例》《长治市中小学校幼儿园规划建设条例》等。</w:t>
            </w:r>
          </w:p>
        </w:tc>
        <w:tc>
          <w:tcPr>
            <w:tcW w:w="1636" w:type="dxa"/>
            <w:vMerge w:val="continue"/>
            <w:noWrap w:val="0"/>
            <w:vAlign w:val="top"/>
          </w:tcPr>
          <w:p>
            <w:pPr>
              <w:rPr>
                <w:rFonts w:hint="eastAsia" w:ascii="仿宋_GB2312" w:hAnsi="仿宋_GB2312" w:eastAsia="仿宋_GB2312" w:cs="仿宋_GB2312"/>
                <w:b w:val="0"/>
                <w:bCs w:val="0"/>
                <w:sz w:val="21"/>
                <w:szCs w:val="21"/>
                <w:vertAlign w:val="baseline"/>
                <w:lang w:val="en-US" w:eastAsia="zh-CN"/>
              </w:rPr>
            </w:pPr>
          </w:p>
        </w:tc>
      </w:tr>
    </w:tbl>
    <w:p/>
    <w:bookmarkEnd w:id="0"/>
    <w:p>
      <w:pPr>
        <w:widowControl w:val="0"/>
        <w:spacing w:after="0" w:line="240" w:lineRule="auto"/>
        <w:ind w:firstLine="640" w:firstLineChars="200"/>
        <w:rPr>
          <w:rFonts w:hint="eastAsia" w:ascii="仿宋_GB2312" w:hAnsi="仿宋_GB2312" w:eastAsia="仿宋_GB2312" w:cs="仿宋_GB2312"/>
          <w:sz w:val="32"/>
          <w:szCs w:val="32"/>
          <w:lang w:val="en-US" w:eastAsia="zh-CN" w:bidi="ar-SA"/>
        </w:rPr>
      </w:pPr>
    </w:p>
    <w:p>
      <w:pPr>
        <w:spacing w:after="0" w:line="240" w:lineRule="auto"/>
        <w:jc w:val="left"/>
        <w:rPr>
          <w:rFonts w:hint="eastAsia" w:ascii="仿宋_GB2312" w:hAnsi="仿宋_GB2312" w:eastAsia="仿宋_GB2312" w:cs="仿宋_GB2312"/>
          <w:kern w:val="0"/>
          <w:sz w:val="32"/>
          <w:szCs w:val="32"/>
          <w:lang w:eastAsia="zh-CN"/>
        </w:rPr>
      </w:pPr>
    </w:p>
    <w:tbl>
      <w:tblPr>
        <w:tblStyle w:val="8"/>
        <w:tblpPr w:leftFromText="180" w:rightFromText="180" w:tblpXSpec="center" w:tblpYSpec="bottom"/>
        <w:tblOverlap w:val="never"/>
        <w:tblW w:w="8860" w:type="dxa"/>
        <w:jc w:val="center"/>
        <w:tblDescription w:val="公文版记"/>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60" w:type="dxa"/>
            <w:shd w:val="clear" w:color="auto" w:fill="auto"/>
            <w:noWrap/>
            <w:vAlign w:val="center"/>
          </w:tcPr>
          <w:p>
            <w:pPr>
              <w:widowControl w:val="0"/>
              <w:spacing w:after="0" w:line="240" w:lineRule="auto"/>
              <w:ind w:left="0" w:leftChars="0" w:firstLine="280" w:firstLineChars="100"/>
              <w:jc w:val="left"/>
              <w:rPr>
                <w:rFonts w:hint="eastAsia" w:ascii="Calibri" w:hAnsi="Calibri" w:eastAsia="Calibri" w:cs="Times New Roman"/>
                <w:kern w:val="0"/>
                <w:sz w:val="22"/>
                <w:szCs w:val="22"/>
                <w:lang w:val="en-US" w:eastAsia="zh-CN" w:bidi="ar-SA"/>
              </w:rPr>
            </w:pPr>
            <w:r>
              <w:rPr>
                <w:rFonts w:hint="eastAsia" w:ascii="仿宋_GB2312" w:hAnsi="仿宋_GB2312" w:eastAsia="仿宋_GB2312" w:cs="仿宋_GB2312"/>
                <w:kern w:val="0"/>
                <w:sz w:val="28"/>
                <w:szCs w:val="28"/>
                <w:lang w:val="en-US" w:eastAsia="zh-CN" w:bidi="ar-SA"/>
              </w:rPr>
              <w:t>长治市城市管理局办公室                  2025年  月  日印发</w:t>
            </w:r>
          </w:p>
        </w:tc>
      </w:tr>
    </w:tbl>
    <w:p>
      <w:pPr>
        <w:widowControl w:val="0"/>
        <w:spacing w:after="0" w:line="240" w:lineRule="auto"/>
        <w:ind w:left="0" w:leftChars="0" w:firstLine="0" w:firstLineChars="0"/>
        <w:rPr>
          <w:rFonts w:hint="eastAsia" w:ascii="Calibri" w:hAnsi="Calibri" w:eastAsia="Calibri" w:cs="Times New Roman"/>
          <w:sz w:val="22"/>
          <w:szCs w:val="22"/>
          <w:lang w:val="en-US" w:eastAsia="zh-CN" w:bidi="ar-SA"/>
        </w:rPr>
      </w:pPr>
    </w:p>
    <w:bookmarkEnd w:id="1"/>
    <w:p/>
    <w:sectPr>
      <w:footerReference r:id="rId3" w:type="default"/>
      <w:pgSz w:w="11906" w:h="16838"/>
      <w:pgMar w:top="2098"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464C3"/>
    <w:multiLevelType w:val="singleLevel"/>
    <w:tmpl w:val="2BC464C3"/>
    <w:lvl w:ilvl="0" w:tentative="0">
      <w:start w:val="2"/>
      <w:numFmt w:val="chineseCounting"/>
      <w:suff w:val="nothing"/>
      <w:lvlText w:val="（%1）"/>
      <w:lvlJc w:val="left"/>
      <w:rPr>
        <w:rFonts w:hint="eastAsia"/>
      </w:rPr>
    </w:lvl>
  </w:abstractNum>
  <w:abstractNum w:abstractNumId="1">
    <w:nsid w:val="42B36E99"/>
    <w:multiLevelType w:val="singleLevel"/>
    <w:tmpl w:val="42B36E99"/>
    <w:lvl w:ilvl="0" w:tentative="0">
      <w:start w:val="7"/>
      <w:numFmt w:val="chineseCounting"/>
      <w:suff w:val="nothing"/>
      <w:lvlText w:val="（%1）"/>
      <w:lvlJc w:val="left"/>
      <w:rPr>
        <w:rFonts w:hint="eastAsia" w:ascii="仿宋_GB2312" w:hAnsi="仿宋_GB2312" w:eastAsia="仿宋_GB2312" w:cs="仿宋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124AE"/>
    <w:rsid w:val="000E515A"/>
    <w:rsid w:val="09A310AE"/>
    <w:rsid w:val="09CB3A21"/>
    <w:rsid w:val="0BD87DE6"/>
    <w:rsid w:val="12161974"/>
    <w:rsid w:val="149E7662"/>
    <w:rsid w:val="1B516EC3"/>
    <w:rsid w:val="1CD52938"/>
    <w:rsid w:val="1CE76B2A"/>
    <w:rsid w:val="20206682"/>
    <w:rsid w:val="25202777"/>
    <w:rsid w:val="26207919"/>
    <w:rsid w:val="27B07891"/>
    <w:rsid w:val="2CDA32AE"/>
    <w:rsid w:val="2F643EA7"/>
    <w:rsid w:val="32245FC1"/>
    <w:rsid w:val="34F65D7D"/>
    <w:rsid w:val="36731078"/>
    <w:rsid w:val="36732D61"/>
    <w:rsid w:val="37EA08DA"/>
    <w:rsid w:val="3AA05775"/>
    <w:rsid w:val="3E9867D6"/>
    <w:rsid w:val="42017D97"/>
    <w:rsid w:val="43C342F1"/>
    <w:rsid w:val="478B2F35"/>
    <w:rsid w:val="4C5124AE"/>
    <w:rsid w:val="53EA2A0C"/>
    <w:rsid w:val="53EE732D"/>
    <w:rsid w:val="5C340C5F"/>
    <w:rsid w:val="5E115F50"/>
    <w:rsid w:val="5EAE1ACB"/>
    <w:rsid w:val="620A1422"/>
    <w:rsid w:val="646E5D3D"/>
    <w:rsid w:val="65B97A79"/>
    <w:rsid w:val="69B06F16"/>
    <w:rsid w:val="6B834B70"/>
    <w:rsid w:val="6EE57085"/>
    <w:rsid w:val="737F378B"/>
    <w:rsid w:val="763126E8"/>
    <w:rsid w:val="789427E4"/>
    <w:rsid w:val="7B112A57"/>
    <w:rsid w:val="7D6569FE"/>
    <w:rsid w:val="7F625F8B"/>
    <w:rsid w:val="7F6A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Normal Indent"/>
    <w:basedOn w:val="1"/>
    <w:next w:val="1"/>
    <w:qFormat/>
    <w:uiPriority w:val="0"/>
    <w:pPr>
      <w:ind w:firstLine="420" w:firstLineChars="200"/>
    </w:pPr>
    <w:rPr>
      <w:rFonts w:ascii="Calibri" w:hAnsi="Calibri"/>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2024-02-19T01:52:00Z</dcterms:created>
  <dc:creator>Administrator</dc:creator>
  <cp:lastModifiedBy>张天贵</cp:lastModifiedBy>
  <cp:lastPrinted>2024-02-19T08:03:00Z</cp:lastPrinted>
  <dcterms:modified xsi:type="dcterms:W3CDTF">2025-12-01T08:02:57Z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BFD762F596B4473FB61E6BD9B302DBCE</vt:lpwstr>
  </property>
</Properties>
</file>