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山西省长治市轻工业局</w:t>
      </w:r>
    </w:p>
    <w:p>
      <w:pPr>
        <w:jc w:val="center"/>
        <w:rPr>
          <w:rFonts w:ascii="华文中宋" w:hAnsi="华文中宋" w:eastAsia="华文中宋"/>
          <w:sz w:val="44"/>
          <w:szCs w:val="44"/>
        </w:rPr>
      </w:pPr>
      <w:r>
        <w:rPr>
          <w:rFonts w:hint="eastAsia" w:ascii="华文中宋" w:hAnsi="华文中宋" w:eastAsia="华文中宋"/>
          <w:sz w:val="44"/>
          <w:szCs w:val="44"/>
          <w:lang w:val="en-US" w:eastAsia="zh-CN"/>
        </w:rPr>
        <w:t>2022</w:t>
      </w:r>
      <w:r>
        <w:rPr>
          <w:rFonts w:hint="eastAsia" w:ascii="华文中宋" w:hAnsi="华文中宋" w:eastAsia="华文中宋"/>
          <w:sz w:val="44"/>
          <w:szCs w:val="44"/>
        </w:rPr>
        <w:t>年度部门预算相关说明</w:t>
      </w:r>
    </w:p>
    <w:p>
      <w:pPr>
        <w:jc w:val="center"/>
        <w:rPr>
          <w:rFonts w:ascii="??" w:hAnsi="??" w:eastAsia="Times New Roman"/>
          <w:sz w:val="32"/>
          <w:szCs w:val="32"/>
        </w:rPr>
      </w:pPr>
    </w:p>
    <w:p>
      <w:pPr>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numPr>
          <w:ilvl w:val="0"/>
          <w:numId w:val="0"/>
        </w:numPr>
        <w:ind w:firstLine="1280" w:firstLineChars="400"/>
        <w:rPr>
          <w:rFonts w:hint="eastAsia" w:ascii="楷体" w:hAnsi="楷体" w:eastAsia="楷体"/>
          <w:sz w:val="32"/>
          <w:szCs w:val="32"/>
        </w:rPr>
      </w:pPr>
      <w:r>
        <w:rPr>
          <w:rFonts w:hint="eastAsia" w:ascii="仿宋" w:hAnsi="仿宋" w:eastAsia="仿宋"/>
          <w:sz w:val="32"/>
          <w:szCs w:val="32"/>
        </w:rPr>
        <w:t>我局为行政预算单位，单位职能：贯彻国家有关轻工行业的方针、政策，制定我市轻工行业的中长期发展规划和年度计划。</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机构设置情况</w:t>
      </w:r>
    </w:p>
    <w:p>
      <w:pPr>
        <w:ind w:firstLine="640" w:firstLineChars="200"/>
        <w:rPr>
          <w:rFonts w:hint="eastAsia" w:ascii="仿宋" w:hAnsi="仿宋" w:eastAsia="仿宋"/>
          <w:sz w:val="32"/>
          <w:szCs w:val="32"/>
        </w:rPr>
      </w:pPr>
      <w:r>
        <w:rPr>
          <w:rFonts w:hint="eastAsia" w:ascii="楷体" w:hAnsi="楷体" w:eastAsia="楷体"/>
          <w:sz w:val="32"/>
          <w:szCs w:val="32"/>
          <w:lang w:val="en-US" w:eastAsia="zh-CN"/>
        </w:rPr>
        <w:t xml:space="preserve"> </w:t>
      </w:r>
      <w:r>
        <w:rPr>
          <w:rFonts w:hint="eastAsia" w:ascii="仿宋" w:hAnsi="仿宋" w:eastAsia="仿宋"/>
          <w:sz w:val="32"/>
          <w:szCs w:val="32"/>
        </w:rPr>
        <w:t>我局独立核算机构1个，现我局在职</w:t>
      </w:r>
      <w:r>
        <w:rPr>
          <w:rFonts w:hint="eastAsia" w:ascii="仿宋" w:hAnsi="仿宋" w:eastAsia="仿宋"/>
          <w:sz w:val="32"/>
          <w:szCs w:val="32"/>
          <w:lang w:val="en-US" w:eastAsia="zh-CN"/>
        </w:rPr>
        <w:t>1</w:t>
      </w:r>
      <w:r>
        <w:rPr>
          <w:rFonts w:hint="eastAsia" w:ascii="仿宋" w:hAnsi="仿宋" w:eastAsia="仿宋"/>
          <w:sz w:val="32"/>
          <w:szCs w:val="32"/>
        </w:rPr>
        <w:t>人，离休</w:t>
      </w:r>
      <w:r>
        <w:rPr>
          <w:rFonts w:hint="eastAsia" w:ascii="仿宋" w:hAnsi="仿宋" w:eastAsia="仿宋"/>
          <w:sz w:val="32"/>
          <w:szCs w:val="32"/>
          <w:lang w:val="en-US" w:eastAsia="zh-CN"/>
        </w:rPr>
        <w:t>4</w:t>
      </w:r>
      <w:r>
        <w:rPr>
          <w:rFonts w:hint="eastAsia" w:ascii="仿宋" w:hAnsi="仿宋" w:eastAsia="仿宋"/>
          <w:sz w:val="32"/>
          <w:szCs w:val="32"/>
        </w:rPr>
        <w:t>人，退休2</w:t>
      </w:r>
      <w:r>
        <w:rPr>
          <w:rFonts w:hint="eastAsia" w:ascii="仿宋" w:hAnsi="仿宋" w:eastAsia="仿宋"/>
          <w:sz w:val="32"/>
          <w:szCs w:val="32"/>
          <w:lang w:val="en-US" w:eastAsia="zh-CN"/>
        </w:rPr>
        <w:t xml:space="preserve">8 </w:t>
      </w:r>
      <w:r>
        <w:rPr>
          <w:rFonts w:hint="eastAsia" w:ascii="仿宋" w:hAnsi="仿宋" w:eastAsia="仿宋"/>
          <w:sz w:val="32"/>
          <w:szCs w:val="32"/>
        </w:rPr>
        <w:t>人。</w:t>
      </w:r>
    </w:p>
    <w:p>
      <w:pP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2</w:t>
      </w:r>
      <w:r>
        <w:rPr>
          <w:rFonts w:hint="eastAsia" w:ascii="黑体" w:hAnsi="黑体" w:eastAsia="黑体"/>
          <w:sz w:val="32"/>
          <w:szCs w:val="32"/>
          <w:lang w:val="en-US" w:eastAsia="zh-CN"/>
        </w:rPr>
        <w:t>022</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ascii="楷体" w:hAnsi="楷体" w:eastAsia="楷体"/>
          <w:sz w:val="32"/>
          <w:szCs w:val="32"/>
        </w:rPr>
        <w:t>20</w:t>
      </w:r>
      <w:r>
        <w:rPr>
          <w:rFonts w:hint="eastAsia" w:ascii="楷体" w:hAnsi="楷体" w:eastAsia="楷体"/>
          <w:sz w:val="32"/>
          <w:szCs w:val="32"/>
          <w:lang w:val="en-US" w:eastAsia="zh-CN"/>
        </w:rPr>
        <w:t>22</w:t>
      </w:r>
      <w:r>
        <w:rPr>
          <w:rFonts w:hint="eastAsia" w:ascii="楷体" w:hAnsi="楷体" w:eastAsia="楷体"/>
          <w:sz w:val="32"/>
          <w:szCs w:val="32"/>
        </w:rPr>
        <w:t>年度部门预算数据变动情况及原因</w:t>
      </w:r>
    </w:p>
    <w:p>
      <w:pPr>
        <w:ind w:firstLine="1286" w:firstLineChars="402"/>
        <w:rPr>
          <w:rFonts w:hint="eastAsia" w:ascii="楷体" w:hAnsi="楷体" w:eastAsia="楷体"/>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年度部门预算同上年基本持平。</w:t>
      </w:r>
    </w:p>
    <w:p>
      <w:pPr>
        <w:numPr>
          <w:ilvl w:val="0"/>
          <w:numId w:val="0"/>
        </w:numPr>
        <w:ind w:leftChars="200" w:firstLine="320" w:firstLineChars="100"/>
        <w:rPr>
          <w:rFonts w:hint="eastAsia" w:ascii="楷体" w:hAnsi="楷体" w:eastAsia="楷体"/>
          <w:sz w:val="32"/>
          <w:szCs w:val="32"/>
        </w:rPr>
      </w:pPr>
      <w:r>
        <w:rPr>
          <w:rFonts w:hint="eastAsia" w:ascii="楷体" w:hAnsi="楷体" w:eastAsia="楷体"/>
          <w:sz w:val="32"/>
          <w:szCs w:val="32"/>
          <w:lang w:val="en-US" w:eastAsia="zh-CN"/>
        </w:rPr>
        <w:t>二、</w:t>
      </w:r>
      <w:r>
        <w:rPr>
          <w:rFonts w:hint="eastAsia" w:ascii="楷体" w:hAnsi="楷体" w:eastAsia="楷体"/>
          <w:sz w:val="32"/>
          <w:szCs w:val="32"/>
        </w:rPr>
        <w:t>“三公”经费增减变动原因说明</w:t>
      </w:r>
    </w:p>
    <w:p>
      <w:pPr>
        <w:numPr>
          <w:ilvl w:val="0"/>
          <w:numId w:val="0"/>
        </w:numPr>
        <w:ind w:leftChars="200"/>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仿宋" w:hAnsi="仿宋" w:eastAsia="仿宋"/>
          <w:sz w:val="32"/>
          <w:szCs w:val="32"/>
        </w:rPr>
        <w:t>三公经费：无</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仿宋" w:hAnsi="仿宋" w:eastAsia="仿宋"/>
          <w:sz w:val="32"/>
          <w:szCs w:val="32"/>
          <w:lang w:val="en-US" w:eastAsia="zh-CN"/>
        </w:rPr>
      </w:pPr>
      <w:r>
        <w:rPr>
          <w:rFonts w:hint="eastAsia" w:ascii="仿宋" w:hAnsi="仿宋" w:eastAsia="仿宋"/>
          <w:sz w:val="32"/>
          <w:szCs w:val="32"/>
          <w:lang w:val="en-US" w:eastAsia="zh-CN"/>
        </w:rPr>
        <w:t>2022年机关运行财政拨款51.04万元，比2021年增加0.45万元，增加0.88%。原因：公用经费增加。</w:t>
      </w:r>
    </w:p>
    <w:p>
      <w:pPr>
        <w:ind w:firstLine="636"/>
        <w:rPr>
          <w:rFonts w:ascii="楷体" w:hAnsi="楷体" w:eastAsia="楷体"/>
          <w:sz w:val="32"/>
          <w:szCs w:val="32"/>
        </w:rPr>
      </w:pPr>
      <w:r>
        <w:rPr>
          <w:rFonts w:hint="eastAsia" w:ascii="楷体" w:hAnsi="楷体" w:eastAsia="楷体"/>
          <w:sz w:val="32"/>
          <w:szCs w:val="32"/>
        </w:rPr>
        <w:t>四、其他说明（参考模板，各单位可根据本单位实际情况进行修改和完善）</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2022</w:t>
      </w:r>
      <w:r>
        <w:rPr>
          <w:rFonts w:hint="eastAsia" w:ascii="楷体_GB2312" w:hAnsi="楷体_GB2312" w:eastAsia="楷体_GB2312" w:cs="楷体_GB2312"/>
          <w:sz w:val="32"/>
          <w:szCs w:val="32"/>
        </w:rPr>
        <w:t>年我单位</w:t>
      </w:r>
      <w:r>
        <w:rPr>
          <w:rFonts w:hint="eastAsia" w:ascii="楷体_GB2312" w:hAnsi="楷体_GB2312" w:eastAsia="楷体_GB2312" w:cs="楷体_GB2312"/>
          <w:sz w:val="32"/>
          <w:szCs w:val="32"/>
          <w:lang w:val="en-US" w:eastAsia="zh-CN"/>
        </w:rPr>
        <w:t>无</w:t>
      </w:r>
      <w:r>
        <w:rPr>
          <w:rFonts w:hint="eastAsia" w:ascii="楷体_GB2312" w:hAnsi="楷体_GB2312" w:eastAsia="楷体_GB2312" w:cs="楷体_GB2312"/>
          <w:sz w:val="32"/>
          <w:szCs w:val="32"/>
        </w:rPr>
        <w:t>政府采购</w:t>
      </w:r>
    </w:p>
    <w:p>
      <w:pPr>
        <w:ind w:firstLine="636"/>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（二）政府购买服务指导性目录</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无</w:t>
      </w:r>
    </w:p>
    <w:p>
      <w:pPr>
        <w:ind w:firstLine="636"/>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（三）国有资产占有使用情况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无</w:t>
      </w:r>
    </w:p>
    <w:p>
      <w:pPr>
        <w:ind w:firstLine="636"/>
        <w:rPr>
          <w:rFonts w:hint="eastAsia" w:ascii="楷体_GB2312" w:hAnsi="楷体_GB2312" w:eastAsia="楷体_GB2312" w:cs="楷体_GB2312"/>
          <w:sz w:val="32"/>
          <w:szCs w:val="32"/>
          <w:lang w:val="en-US"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车辆情况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无</w:t>
      </w:r>
    </w:p>
    <w:p>
      <w:pPr>
        <w:ind w:firstLine="636"/>
        <w:rPr>
          <w:rFonts w:hint="eastAsia" w:ascii="楷体_GB2312" w:hAnsi="楷体_GB2312" w:eastAsia="楷体_GB2312" w:cs="楷体_GB2312"/>
          <w:sz w:val="32"/>
          <w:szCs w:val="32"/>
          <w:lang w:val="en-US" w:eastAsia="zh-CN"/>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房屋情况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我单位办公用房150平方米。</w:t>
      </w:r>
    </w:p>
    <w:p>
      <w:pPr>
        <w:ind w:firstLine="636"/>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3、其他国有资产占用情况说明：</w:t>
      </w:r>
    </w:p>
    <w:p>
      <w:pPr>
        <w:ind w:firstLine="636"/>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我单位另有办公桌椅五套，办公用电脑一台、办公用打印机一台。</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numPr>
          <w:ilvl w:val="0"/>
          <w:numId w:val="0"/>
        </w:numPr>
        <w:ind w:firstLine="960" w:firstLineChars="3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2022年我单位实行绩效目标管理的项目0个，涉及一般公共预算当年拨款0万元。</w:t>
      </w:r>
    </w:p>
    <w:p>
      <w:pPr>
        <w:numPr>
          <w:ilvl w:val="0"/>
          <w:numId w:val="2"/>
        </w:num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非税收入和基金执收情况</w:t>
      </w:r>
    </w:p>
    <w:p>
      <w:pPr>
        <w:rPr>
          <w:rFonts w:hint="eastAsia"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非税收入</w:t>
      </w:r>
      <w:r>
        <w:rPr>
          <w:rFonts w:hint="eastAsia" w:ascii="楷体_GB2312" w:hAnsi="楷体_GB2312" w:eastAsia="楷体_GB2312" w:cs="楷体_GB2312"/>
          <w:sz w:val="32"/>
          <w:szCs w:val="32"/>
          <w:lang w:val="en-US" w:eastAsia="zh-CN"/>
        </w:rPr>
        <w:t>部分：</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bookmarkStart w:id="0" w:name="_GoBack"/>
      <w:bookmarkEnd w:id="0"/>
      <w:r>
        <w:rPr>
          <w:rFonts w:hint="eastAsia" w:ascii="楷体_GB2312" w:hAnsi="楷体_GB2312" w:eastAsia="楷体_GB2312" w:cs="楷体_GB2312"/>
          <w:sz w:val="32"/>
          <w:szCs w:val="32"/>
        </w:rPr>
        <w:t>年单位房屋租金由长治市机关事务管理局统一定价，统一签订合同，并由机关事务管理局统一收缴，统一上缴财政。</w:t>
      </w:r>
    </w:p>
    <w:p>
      <w:pPr>
        <w:numPr>
          <w:ilvl w:val="0"/>
          <w:numId w:val="2"/>
        </w:num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其他</w:t>
      </w:r>
    </w:p>
    <w:p>
      <w:pP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名词解释（参考模板，各单位可根据本单位实际情况进行修改和完善）</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ascii="楷体_GB2312" w:hAnsi="楷体_GB2312" w:eastAsia="楷体_GB2312" w:cs="楷体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p>
                    <w:pPr>
                      <w:pStyle w:val="2"/>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FD354"/>
    <w:multiLevelType w:val="singleLevel"/>
    <w:tmpl w:val="ED9FD354"/>
    <w:lvl w:ilvl="0" w:tentative="0">
      <w:start w:val="2"/>
      <w:numFmt w:val="chineseCounting"/>
      <w:suff w:val="nothing"/>
      <w:lvlText w:val="%1、"/>
      <w:lvlJc w:val="left"/>
      <w:rPr>
        <w:rFonts w:hint="eastAsia"/>
      </w:rPr>
    </w:lvl>
  </w:abstractNum>
  <w:abstractNum w:abstractNumId="1">
    <w:nsid w:val="58D476BD"/>
    <w:multiLevelType w:val="singleLevel"/>
    <w:tmpl w:val="58D476BD"/>
    <w:lvl w:ilvl="0" w:tentative="0">
      <w:start w:val="5"/>
      <w:numFmt w:val="chineseCounting"/>
      <w:suff w:val="space"/>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61"/>
    <w:rsid w:val="00162DA6"/>
    <w:rsid w:val="00332350"/>
    <w:rsid w:val="003C437C"/>
    <w:rsid w:val="00530361"/>
    <w:rsid w:val="00552BFB"/>
    <w:rsid w:val="00574F99"/>
    <w:rsid w:val="00575A54"/>
    <w:rsid w:val="0069691F"/>
    <w:rsid w:val="006C112A"/>
    <w:rsid w:val="007E3878"/>
    <w:rsid w:val="008E24FF"/>
    <w:rsid w:val="00916F18"/>
    <w:rsid w:val="009C570F"/>
    <w:rsid w:val="00A665B7"/>
    <w:rsid w:val="00A76357"/>
    <w:rsid w:val="00D142B9"/>
    <w:rsid w:val="00D278F0"/>
    <w:rsid w:val="00E24128"/>
    <w:rsid w:val="00E43FC2"/>
    <w:rsid w:val="01B4135D"/>
    <w:rsid w:val="03C57707"/>
    <w:rsid w:val="05510D46"/>
    <w:rsid w:val="0985628C"/>
    <w:rsid w:val="09FA3E62"/>
    <w:rsid w:val="0B5A1DB5"/>
    <w:rsid w:val="12EA61DE"/>
    <w:rsid w:val="1A4B3503"/>
    <w:rsid w:val="1C0C3B07"/>
    <w:rsid w:val="1E606C97"/>
    <w:rsid w:val="1E610F59"/>
    <w:rsid w:val="1F75674E"/>
    <w:rsid w:val="1FC20651"/>
    <w:rsid w:val="21002BE9"/>
    <w:rsid w:val="235F3FD5"/>
    <w:rsid w:val="23CA16B1"/>
    <w:rsid w:val="27231A84"/>
    <w:rsid w:val="29F24DEA"/>
    <w:rsid w:val="2D285CD0"/>
    <w:rsid w:val="30782051"/>
    <w:rsid w:val="35BC1C21"/>
    <w:rsid w:val="37334D73"/>
    <w:rsid w:val="38E245EA"/>
    <w:rsid w:val="3BFE7BFB"/>
    <w:rsid w:val="3E3823B0"/>
    <w:rsid w:val="49A74B25"/>
    <w:rsid w:val="4A247304"/>
    <w:rsid w:val="4C2A373B"/>
    <w:rsid w:val="4D27293B"/>
    <w:rsid w:val="4F7D7F40"/>
    <w:rsid w:val="501E791D"/>
    <w:rsid w:val="508F58F6"/>
    <w:rsid w:val="516E1A8F"/>
    <w:rsid w:val="525F13E7"/>
    <w:rsid w:val="53A371B6"/>
    <w:rsid w:val="5AAB4247"/>
    <w:rsid w:val="5C8205E7"/>
    <w:rsid w:val="5CEC30FC"/>
    <w:rsid w:val="61196E57"/>
    <w:rsid w:val="6157253F"/>
    <w:rsid w:val="63637CAA"/>
    <w:rsid w:val="65ED518E"/>
    <w:rsid w:val="68CB0C77"/>
    <w:rsid w:val="6A5C42E8"/>
    <w:rsid w:val="6A864F18"/>
    <w:rsid w:val="71765F13"/>
    <w:rsid w:val="73A046BF"/>
    <w:rsid w:val="7AC5203B"/>
    <w:rsid w:val="7CFD17B0"/>
    <w:rsid w:val="7E291EB2"/>
    <w:rsid w:val="7E293E36"/>
    <w:rsid w:val="7F553E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ascii="Calibri" w:hAnsi="Calibri"/>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basedOn w:val="5"/>
    <w:uiPriority w:val="99"/>
    <w:rPr>
      <w:rFonts w:cs="Times New Roman"/>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134</Words>
  <Characters>769</Characters>
  <Lines>0</Lines>
  <Paragraphs>0</Paragraphs>
  <TotalTime>33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GIGA</cp:lastModifiedBy>
  <cp:lastPrinted>2019-01-28T03:43:00Z</cp:lastPrinted>
  <dcterms:modified xsi:type="dcterms:W3CDTF">2022-03-18T08:37:09Z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