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长治市直教育系统</w:t>
      </w:r>
      <w:r>
        <w:rPr>
          <w:rFonts w:hint="eastAsia" w:asciiTheme="majorEastAsia" w:hAnsiTheme="majorEastAsia" w:eastAsiaTheme="majorEastAsia"/>
          <w:b/>
          <w:sz w:val="44"/>
          <w:szCs w:val="44"/>
          <w:lang w:eastAsia="zh-CN"/>
        </w:rPr>
        <w:t>2018</w:t>
      </w:r>
      <w:r>
        <w:rPr>
          <w:rFonts w:hint="eastAsia" w:asciiTheme="majorEastAsia" w:hAnsiTheme="majorEastAsia" w:eastAsiaTheme="majorEastAsia"/>
          <w:b/>
          <w:sz w:val="44"/>
          <w:szCs w:val="44"/>
        </w:rPr>
        <w:t>年度</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部门预算相关说明</w:t>
      </w:r>
    </w:p>
    <w:p>
      <w:pPr>
        <w:jc w:val="center"/>
        <w:rPr>
          <w:rFonts w:ascii="仿宋" w:hAnsi="仿宋" w:eastAsia="仿宋"/>
          <w:sz w:val="32"/>
          <w:szCs w:val="32"/>
        </w:rPr>
      </w:pPr>
    </w:p>
    <w:p>
      <w:pPr>
        <w:jc w:val="cente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ascii="仿宋" w:hAnsi="仿宋" w:eastAsia="仿宋"/>
          <w:sz w:val="32"/>
          <w:szCs w:val="32"/>
        </w:rPr>
      </w:pPr>
      <w:r>
        <w:rPr>
          <w:rFonts w:hint="eastAsia" w:ascii="仿宋" w:hAnsi="仿宋" w:eastAsia="仿宋"/>
          <w:sz w:val="32"/>
          <w:szCs w:val="32"/>
        </w:rPr>
        <w:t>一、本部门职责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1、宏观管理全市的学前（幼儿）教育、普通中小学教育、职业技术教育、民办教育和成人教育工作，组织开展教育教学研究和改革工作。</w:t>
      </w:r>
      <w:r>
        <w:rPr>
          <w:rFonts w:hint="eastAsia" w:ascii="仿宋" w:hAnsi="仿宋" w:eastAsia="仿宋"/>
          <w:sz w:val="32"/>
          <w:szCs w:val="32"/>
        </w:rPr>
        <w:br w:type="textWrapping"/>
      </w:r>
      <w:r>
        <w:rPr>
          <w:rFonts w:hint="eastAsia" w:ascii="仿宋" w:hAnsi="仿宋" w:eastAsia="仿宋"/>
          <w:sz w:val="32"/>
          <w:szCs w:val="32"/>
        </w:rPr>
        <w:t>　　2、会同有关部门拟订全市教育系统人事、劳资、职称管理工作的有关政策，指导各县（市、区）的教育行政管理及学校内部管理体制改革，对全市的教师队伍和教育行政干部进行宏观管理。</w:t>
      </w:r>
      <w:r>
        <w:rPr>
          <w:rFonts w:hint="eastAsia" w:ascii="仿宋" w:hAnsi="仿宋" w:eastAsia="仿宋"/>
          <w:sz w:val="32"/>
          <w:szCs w:val="32"/>
        </w:rPr>
        <w:br w:type="textWrapping"/>
      </w:r>
      <w:r>
        <w:rPr>
          <w:rFonts w:hint="eastAsia" w:ascii="仿宋" w:hAnsi="仿宋" w:eastAsia="仿宋"/>
          <w:sz w:val="32"/>
          <w:szCs w:val="32"/>
        </w:rPr>
        <w:t>　　3、宏观管理各级各类学校的思想工作、德育工作、精神文明建设工作、体育卫生工作、艺术教育工作和国防教育工作。</w:t>
      </w:r>
      <w:r>
        <w:rPr>
          <w:rFonts w:hint="eastAsia" w:ascii="仿宋" w:hAnsi="仿宋" w:eastAsia="仿宋"/>
          <w:sz w:val="32"/>
          <w:szCs w:val="32"/>
        </w:rPr>
        <w:br w:type="textWrapping"/>
      </w:r>
      <w:r>
        <w:rPr>
          <w:rFonts w:hint="eastAsia" w:ascii="仿宋" w:hAnsi="仿宋" w:eastAsia="仿宋"/>
          <w:sz w:val="32"/>
          <w:szCs w:val="32"/>
        </w:rPr>
        <w:t>　　4、根据国家政策，管理全市的学历教育、教师资格认定及其考试工作，拟定全市各级各类学校的招生考试实施方案并指导实施。</w:t>
      </w:r>
    </w:p>
    <w:p>
      <w:pPr>
        <w:ind w:firstLine="640" w:firstLineChars="200"/>
        <w:rPr>
          <w:rFonts w:ascii="仿宋" w:hAnsi="仿宋" w:eastAsia="仿宋"/>
          <w:sz w:val="32"/>
          <w:szCs w:val="32"/>
        </w:rPr>
      </w:pPr>
      <w:r>
        <w:rPr>
          <w:rFonts w:hint="eastAsia" w:ascii="仿宋" w:hAnsi="仿宋" w:eastAsia="仿宋"/>
          <w:sz w:val="32"/>
          <w:szCs w:val="32"/>
        </w:rPr>
        <w:t>二、机构设置情况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长治市直教育系统包括1个行政单位长治市教育局，1个参公单位长治市招生考试管理中心，7个全额事业单位长治市教育局教研室、长治市教育局电教馆、长治市教育局仪器站、长治市教育局实习指导中心、长治市教育局资金管理中心、长治市教育局职教管理中心、长治市教育局学生资助中心，3个自收自支单位长治市教育局后勤服务中心、长治市教育电视台、长治市第一职业高中实训中心和3</w:t>
      </w:r>
      <w:r>
        <w:rPr>
          <w:rFonts w:hint="eastAsia" w:ascii="仿宋" w:hAnsi="仿宋" w:eastAsia="仿宋"/>
          <w:sz w:val="32"/>
          <w:szCs w:val="32"/>
          <w:lang w:val="en-US" w:eastAsia="zh-CN"/>
        </w:rPr>
        <w:t>3</w:t>
      </w:r>
      <w:r>
        <w:rPr>
          <w:rFonts w:hint="eastAsia" w:ascii="仿宋" w:hAnsi="仿宋" w:eastAsia="仿宋"/>
          <w:sz w:val="32"/>
          <w:szCs w:val="32"/>
        </w:rPr>
        <w:t>所学校长治市一中、长治市二中、长治市三中、长治市四中、长治市五中、长治市六中、长治市七中、长治市八中、长治市九中、长治市十中、长治市十二中、长治市十三中、长治市十五中、长治市十六中、长治市十七中、长治市十八中、长治市十九中、沁县中学、</w:t>
      </w:r>
      <w:r>
        <w:rPr>
          <w:rFonts w:hint="eastAsia" w:ascii="仿宋" w:hAnsi="仿宋" w:eastAsia="仿宋"/>
          <w:sz w:val="32"/>
          <w:szCs w:val="32"/>
          <w:lang w:eastAsia="zh-CN"/>
        </w:rPr>
        <w:t>火炬中学、</w:t>
      </w:r>
      <w:r>
        <w:rPr>
          <w:rFonts w:hint="eastAsia" w:ascii="仿宋" w:hAnsi="仿宋" w:eastAsia="仿宋"/>
          <w:sz w:val="32"/>
          <w:szCs w:val="32"/>
        </w:rPr>
        <w:t>长治市一职高、长治市二职高、长治师范、沁县师范、晋东南幼师、教育学院、实验中学、实验小学、沁师附小、友谊小学、健乐幼儿园、</w:t>
      </w:r>
      <w:r>
        <w:rPr>
          <w:rFonts w:hint="eastAsia" w:ascii="仿宋" w:hAnsi="仿宋" w:eastAsia="仿宋"/>
          <w:sz w:val="32"/>
          <w:szCs w:val="32"/>
          <w:lang w:eastAsia="zh-CN"/>
        </w:rPr>
        <w:t>滨河幼儿园、容海幼儿园、</w:t>
      </w:r>
      <w:r>
        <w:rPr>
          <w:rFonts w:hint="eastAsia" w:ascii="仿宋" w:hAnsi="仿宋" w:eastAsia="仿宋"/>
          <w:sz w:val="32"/>
          <w:szCs w:val="32"/>
        </w:rPr>
        <w:t>长治市特殊教育学校。</w:t>
      </w:r>
    </w:p>
    <w:p>
      <w:pPr>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2018</w:t>
      </w:r>
      <w:r>
        <w:rPr>
          <w:rFonts w:hint="eastAsia" w:ascii="黑体" w:hAnsi="黑体" w:eastAsia="黑体"/>
          <w:sz w:val="32"/>
          <w:szCs w:val="32"/>
        </w:rPr>
        <w:t>年度部门预算情况说明</w:t>
      </w:r>
    </w:p>
    <w:p>
      <w:pPr>
        <w:ind w:firstLine="636"/>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2018</w:t>
      </w:r>
      <w:r>
        <w:rPr>
          <w:rFonts w:hint="eastAsia" w:ascii="仿宋" w:hAnsi="仿宋" w:eastAsia="仿宋"/>
          <w:sz w:val="32"/>
          <w:szCs w:val="32"/>
        </w:rPr>
        <w:t>年度部门预算数据变动情况及原因</w:t>
      </w:r>
    </w:p>
    <w:p>
      <w:pPr>
        <w:ind w:firstLine="640" w:firstLineChars="200"/>
        <w:rPr>
          <w:rFonts w:ascii="仿宋" w:hAnsi="仿宋" w:eastAsia="仿宋"/>
          <w:sz w:val="32"/>
          <w:szCs w:val="32"/>
        </w:rPr>
      </w:pPr>
      <w:r>
        <w:rPr>
          <w:rFonts w:hint="eastAsia" w:ascii="仿宋" w:hAnsi="仿宋" w:eastAsia="仿宋"/>
          <w:sz w:val="32"/>
          <w:szCs w:val="32"/>
        </w:rPr>
        <w:t>长治市直教育系统</w:t>
      </w:r>
      <w:r>
        <w:rPr>
          <w:rFonts w:hint="eastAsia" w:ascii="仿宋" w:hAnsi="仿宋" w:eastAsia="仿宋"/>
          <w:sz w:val="32"/>
          <w:szCs w:val="32"/>
          <w:lang w:eastAsia="zh-CN"/>
        </w:rPr>
        <w:t>2018</w:t>
      </w:r>
      <w:r>
        <w:rPr>
          <w:rFonts w:hint="eastAsia" w:ascii="仿宋" w:hAnsi="仿宋" w:eastAsia="仿宋"/>
          <w:sz w:val="32"/>
          <w:szCs w:val="32"/>
        </w:rPr>
        <w:t>年预算总收入为</w:t>
      </w:r>
      <w:r>
        <w:rPr>
          <w:rFonts w:hint="eastAsia" w:ascii="仿宋" w:hAnsi="仿宋" w:eastAsia="仿宋" w:cs="宋体"/>
          <w:kern w:val="0"/>
          <w:sz w:val="32"/>
          <w:szCs w:val="32"/>
          <w:lang w:val="en-US" w:eastAsia="zh-CN"/>
        </w:rPr>
        <w:t>73633.67</w:t>
      </w:r>
      <w:r>
        <w:rPr>
          <w:rFonts w:hint="eastAsia" w:ascii="仿宋" w:hAnsi="仿宋" w:eastAsia="仿宋"/>
          <w:sz w:val="32"/>
          <w:szCs w:val="32"/>
        </w:rPr>
        <w:t>万元，比</w:t>
      </w:r>
      <w:r>
        <w:rPr>
          <w:rFonts w:hint="eastAsia" w:ascii="仿宋" w:hAnsi="仿宋" w:eastAsia="仿宋"/>
          <w:sz w:val="32"/>
          <w:szCs w:val="32"/>
          <w:lang w:eastAsia="zh-CN"/>
        </w:rPr>
        <w:t>2017</w:t>
      </w:r>
      <w:r>
        <w:rPr>
          <w:rFonts w:hint="eastAsia" w:ascii="仿宋" w:hAnsi="仿宋" w:eastAsia="仿宋"/>
          <w:sz w:val="32"/>
          <w:szCs w:val="32"/>
        </w:rPr>
        <w:t>年增长</w:t>
      </w:r>
      <w:r>
        <w:rPr>
          <w:rFonts w:hint="eastAsia" w:ascii="仿宋" w:hAnsi="仿宋" w:eastAsia="仿宋"/>
          <w:sz w:val="32"/>
          <w:szCs w:val="32"/>
          <w:lang w:val="en-US" w:eastAsia="zh-CN"/>
        </w:rPr>
        <w:t>15.16</w:t>
      </w:r>
      <w:r>
        <w:rPr>
          <w:rFonts w:hint="eastAsia" w:ascii="仿宋" w:hAnsi="仿宋" w:eastAsia="仿宋"/>
          <w:sz w:val="32"/>
          <w:szCs w:val="32"/>
        </w:rPr>
        <w:t>%，其中，一般公共预算资金</w:t>
      </w:r>
      <w:r>
        <w:rPr>
          <w:rFonts w:hint="eastAsia" w:ascii="仿宋" w:hAnsi="仿宋" w:eastAsia="仿宋" w:cs="宋体"/>
          <w:kern w:val="0"/>
          <w:sz w:val="32"/>
          <w:szCs w:val="32"/>
          <w:lang w:val="en-US" w:eastAsia="zh-CN"/>
        </w:rPr>
        <w:t>68967.84</w:t>
      </w:r>
      <w:r>
        <w:rPr>
          <w:rFonts w:hint="eastAsia" w:ascii="仿宋" w:hAnsi="仿宋" w:eastAsia="仿宋"/>
          <w:sz w:val="32"/>
          <w:szCs w:val="32"/>
        </w:rPr>
        <w:t>万元，比</w:t>
      </w:r>
      <w:r>
        <w:rPr>
          <w:rFonts w:hint="eastAsia" w:ascii="仿宋" w:hAnsi="仿宋" w:eastAsia="仿宋"/>
          <w:sz w:val="32"/>
          <w:szCs w:val="32"/>
          <w:lang w:eastAsia="zh-CN"/>
        </w:rPr>
        <w:t>2017</w:t>
      </w:r>
      <w:r>
        <w:rPr>
          <w:rFonts w:hint="eastAsia" w:ascii="仿宋" w:hAnsi="仿宋" w:eastAsia="仿宋"/>
          <w:sz w:val="32"/>
          <w:szCs w:val="32"/>
        </w:rPr>
        <w:t>年增长</w:t>
      </w:r>
      <w:r>
        <w:rPr>
          <w:rFonts w:hint="eastAsia" w:ascii="仿宋" w:hAnsi="仿宋" w:eastAsia="仿宋"/>
          <w:sz w:val="32"/>
          <w:szCs w:val="32"/>
          <w:lang w:val="en-US" w:eastAsia="zh-CN"/>
        </w:rPr>
        <w:t>16.33</w:t>
      </w:r>
      <w:r>
        <w:rPr>
          <w:rFonts w:hint="eastAsia" w:ascii="仿宋" w:hAnsi="仿宋" w:eastAsia="仿宋"/>
          <w:sz w:val="32"/>
          <w:szCs w:val="32"/>
        </w:rPr>
        <w:t xml:space="preserve"> %，纳入专户管理的事业资金</w:t>
      </w:r>
      <w:r>
        <w:rPr>
          <w:rFonts w:hint="eastAsia" w:ascii="仿宋" w:hAnsi="仿宋" w:eastAsia="仿宋" w:cs="宋体"/>
          <w:kern w:val="0"/>
          <w:sz w:val="32"/>
          <w:szCs w:val="32"/>
        </w:rPr>
        <w:t>46</w:t>
      </w:r>
      <w:r>
        <w:rPr>
          <w:rFonts w:hint="eastAsia" w:ascii="仿宋" w:hAnsi="仿宋" w:eastAsia="仿宋" w:cs="宋体"/>
          <w:kern w:val="0"/>
          <w:sz w:val="32"/>
          <w:szCs w:val="32"/>
          <w:lang w:val="en-US" w:eastAsia="zh-CN"/>
        </w:rPr>
        <w:t>65.83</w:t>
      </w:r>
      <w:r>
        <w:rPr>
          <w:rFonts w:hint="eastAsia" w:ascii="仿宋" w:hAnsi="仿宋" w:eastAsia="仿宋"/>
          <w:sz w:val="32"/>
          <w:szCs w:val="32"/>
        </w:rPr>
        <w:t>万元，比</w:t>
      </w:r>
      <w:r>
        <w:rPr>
          <w:rFonts w:hint="eastAsia" w:ascii="仿宋" w:hAnsi="仿宋" w:eastAsia="仿宋"/>
          <w:sz w:val="32"/>
          <w:szCs w:val="32"/>
          <w:lang w:eastAsia="zh-CN"/>
        </w:rPr>
        <w:t>2017</w:t>
      </w:r>
      <w:r>
        <w:rPr>
          <w:rFonts w:hint="eastAsia" w:ascii="仿宋" w:hAnsi="仿宋" w:eastAsia="仿宋"/>
          <w:sz w:val="32"/>
          <w:szCs w:val="32"/>
        </w:rPr>
        <w:t>年增长</w:t>
      </w:r>
      <w:r>
        <w:rPr>
          <w:rFonts w:hint="eastAsia" w:ascii="仿宋" w:hAnsi="仿宋" w:eastAsia="仿宋"/>
          <w:sz w:val="32"/>
          <w:szCs w:val="32"/>
          <w:lang w:val="en-US" w:eastAsia="zh-CN"/>
        </w:rPr>
        <w:t>0.22</w:t>
      </w:r>
      <w:r>
        <w:rPr>
          <w:rFonts w:hint="eastAsia" w:ascii="仿宋" w:hAnsi="仿宋" w:eastAsia="仿宋"/>
          <w:sz w:val="32"/>
          <w:szCs w:val="32"/>
        </w:rPr>
        <w:t>%。预算总支出为</w:t>
      </w:r>
      <w:r>
        <w:rPr>
          <w:rFonts w:hint="eastAsia" w:ascii="仿宋" w:hAnsi="仿宋" w:eastAsia="仿宋" w:cs="宋体"/>
          <w:kern w:val="0"/>
          <w:sz w:val="32"/>
          <w:szCs w:val="32"/>
          <w:lang w:val="en-US" w:eastAsia="zh-CN"/>
        </w:rPr>
        <w:t>73633.67</w:t>
      </w:r>
      <w:r>
        <w:rPr>
          <w:rFonts w:hint="eastAsia" w:ascii="仿宋" w:hAnsi="仿宋" w:eastAsia="仿宋"/>
          <w:sz w:val="32"/>
          <w:szCs w:val="32"/>
        </w:rPr>
        <w:t>万元，比</w:t>
      </w:r>
      <w:r>
        <w:rPr>
          <w:rFonts w:hint="eastAsia" w:ascii="仿宋" w:hAnsi="仿宋" w:eastAsia="仿宋"/>
          <w:sz w:val="32"/>
          <w:szCs w:val="32"/>
          <w:lang w:eastAsia="zh-CN"/>
        </w:rPr>
        <w:t>2017</w:t>
      </w:r>
      <w:r>
        <w:rPr>
          <w:rFonts w:hint="eastAsia" w:ascii="仿宋" w:hAnsi="仿宋" w:eastAsia="仿宋"/>
          <w:sz w:val="32"/>
          <w:szCs w:val="32"/>
        </w:rPr>
        <w:t>年增长</w:t>
      </w:r>
      <w:r>
        <w:rPr>
          <w:rFonts w:hint="eastAsia" w:ascii="仿宋" w:hAnsi="仿宋" w:eastAsia="仿宋"/>
          <w:sz w:val="32"/>
          <w:szCs w:val="32"/>
          <w:lang w:val="en-US" w:eastAsia="zh-CN"/>
        </w:rPr>
        <w:t>15.16</w:t>
      </w:r>
      <w:r>
        <w:rPr>
          <w:rFonts w:hint="eastAsia" w:ascii="仿宋" w:hAnsi="仿宋" w:eastAsia="仿宋"/>
          <w:sz w:val="32"/>
          <w:szCs w:val="32"/>
        </w:rPr>
        <w:t>%，其中，205教育支出</w:t>
      </w:r>
      <w:r>
        <w:rPr>
          <w:rFonts w:hint="eastAsia" w:ascii="仿宋" w:hAnsi="仿宋" w:eastAsia="仿宋" w:cs="宋体"/>
          <w:kern w:val="0"/>
          <w:sz w:val="32"/>
          <w:szCs w:val="32"/>
        </w:rPr>
        <w:t>59213.52</w:t>
      </w:r>
      <w:r>
        <w:rPr>
          <w:rFonts w:hint="eastAsia" w:ascii="仿宋" w:hAnsi="仿宋" w:eastAsia="仿宋"/>
          <w:sz w:val="32"/>
          <w:szCs w:val="32"/>
        </w:rPr>
        <w:t>万元、208社会保障和就业支出</w:t>
      </w:r>
      <w:r>
        <w:rPr>
          <w:rFonts w:hint="eastAsia" w:ascii="仿宋" w:hAnsi="仿宋" w:eastAsia="仿宋" w:cs="宋体"/>
          <w:kern w:val="0"/>
          <w:sz w:val="32"/>
          <w:szCs w:val="32"/>
        </w:rPr>
        <w:t>7606.22</w:t>
      </w:r>
      <w:r>
        <w:rPr>
          <w:rFonts w:hint="eastAsia" w:ascii="仿宋" w:hAnsi="仿宋" w:eastAsia="仿宋"/>
          <w:sz w:val="32"/>
          <w:szCs w:val="32"/>
        </w:rPr>
        <w:t>万元，210医疗卫生与计划生育支出</w:t>
      </w:r>
      <w:r>
        <w:rPr>
          <w:rFonts w:hint="eastAsia" w:ascii="仿宋" w:hAnsi="仿宋" w:eastAsia="仿宋" w:cs="宋体"/>
          <w:kern w:val="0"/>
          <w:sz w:val="32"/>
          <w:szCs w:val="32"/>
        </w:rPr>
        <w:t>2478.04</w:t>
      </w:r>
      <w:r>
        <w:rPr>
          <w:rFonts w:hint="eastAsia" w:ascii="仿宋" w:hAnsi="仿宋" w:eastAsia="仿宋"/>
          <w:sz w:val="32"/>
          <w:szCs w:val="32"/>
        </w:rPr>
        <w:t>万元，</w:t>
      </w:r>
      <w:r>
        <w:rPr>
          <w:rFonts w:hint="eastAsia" w:ascii="仿宋" w:hAnsi="仿宋" w:eastAsia="仿宋"/>
          <w:sz w:val="32"/>
          <w:szCs w:val="32"/>
          <w:lang w:val="en-US" w:eastAsia="zh-CN"/>
        </w:rPr>
        <w:t>213</w:t>
      </w:r>
      <w:r>
        <w:rPr>
          <w:rFonts w:hint="eastAsia" w:ascii="仿宋" w:hAnsi="仿宋" w:eastAsia="仿宋"/>
          <w:sz w:val="32"/>
          <w:szCs w:val="32"/>
          <w:lang w:eastAsia="zh-CN"/>
        </w:rPr>
        <w:t>农林水支出</w:t>
      </w:r>
      <w:r>
        <w:rPr>
          <w:rFonts w:hint="eastAsia" w:ascii="仿宋" w:hAnsi="仿宋" w:eastAsia="仿宋"/>
          <w:sz w:val="32"/>
          <w:szCs w:val="32"/>
        </w:rPr>
        <w:t>206.5</w:t>
      </w:r>
      <w:r>
        <w:rPr>
          <w:rFonts w:hint="eastAsia" w:ascii="仿宋" w:hAnsi="仿宋" w:eastAsia="仿宋"/>
          <w:sz w:val="32"/>
          <w:szCs w:val="32"/>
          <w:lang w:eastAsia="zh-CN"/>
        </w:rPr>
        <w:t>万元，</w:t>
      </w:r>
      <w:r>
        <w:rPr>
          <w:rFonts w:hint="eastAsia" w:ascii="仿宋" w:hAnsi="仿宋" w:eastAsia="仿宋"/>
          <w:sz w:val="32"/>
          <w:szCs w:val="32"/>
        </w:rPr>
        <w:t>221住房保障支出</w:t>
      </w:r>
      <w:r>
        <w:rPr>
          <w:rFonts w:hint="eastAsia" w:ascii="仿宋" w:hAnsi="仿宋" w:eastAsia="仿宋" w:cs="宋体"/>
          <w:kern w:val="0"/>
          <w:sz w:val="32"/>
          <w:szCs w:val="32"/>
        </w:rPr>
        <w:t>4129.39</w:t>
      </w:r>
      <w:r>
        <w:rPr>
          <w:rFonts w:hint="eastAsia" w:ascii="仿宋" w:hAnsi="仿宋" w:eastAsia="仿宋"/>
          <w:sz w:val="32"/>
          <w:szCs w:val="32"/>
        </w:rPr>
        <w:t>万元，分别比上年增加</w:t>
      </w:r>
      <w:r>
        <w:rPr>
          <w:rFonts w:hint="eastAsia" w:ascii="仿宋" w:hAnsi="仿宋" w:eastAsia="仿宋"/>
          <w:sz w:val="32"/>
          <w:szCs w:val="32"/>
          <w:lang w:val="en-US" w:eastAsia="zh-CN"/>
        </w:rPr>
        <w:t>17.60</w:t>
      </w:r>
      <w:r>
        <w:rPr>
          <w:rFonts w:hint="eastAsia" w:ascii="仿宋" w:hAnsi="仿宋" w:eastAsia="仿宋"/>
          <w:sz w:val="32"/>
          <w:szCs w:val="32"/>
        </w:rPr>
        <w:t>%、</w:t>
      </w:r>
      <w:r>
        <w:rPr>
          <w:rFonts w:hint="eastAsia" w:ascii="仿宋" w:hAnsi="仿宋" w:eastAsia="仿宋"/>
          <w:sz w:val="32"/>
          <w:szCs w:val="32"/>
          <w:lang w:val="en-US" w:eastAsia="zh-CN"/>
        </w:rPr>
        <w:t>6.63</w:t>
      </w:r>
      <w:r>
        <w:rPr>
          <w:rFonts w:hint="eastAsia" w:ascii="仿宋" w:hAnsi="仿宋" w:eastAsia="仿宋"/>
          <w:sz w:val="32"/>
          <w:szCs w:val="32"/>
        </w:rPr>
        <w:t>%、</w:t>
      </w:r>
      <w:r>
        <w:rPr>
          <w:rFonts w:hint="eastAsia" w:ascii="仿宋" w:hAnsi="仿宋" w:eastAsia="仿宋"/>
          <w:sz w:val="32"/>
          <w:szCs w:val="32"/>
          <w:lang w:val="en-US" w:eastAsia="zh-CN"/>
        </w:rPr>
        <w:t>2.41</w:t>
      </w:r>
      <w:r>
        <w:rPr>
          <w:rFonts w:hint="eastAsia" w:ascii="仿宋" w:hAnsi="仿宋" w:eastAsia="仿宋"/>
          <w:sz w:val="32"/>
          <w:szCs w:val="32"/>
        </w:rPr>
        <w:t>%、</w:t>
      </w:r>
      <w:r>
        <w:rPr>
          <w:rFonts w:hint="eastAsia" w:ascii="仿宋" w:hAnsi="仿宋" w:eastAsia="仿宋"/>
          <w:sz w:val="32"/>
          <w:szCs w:val="32"/>
          <w:lang w:val="en-US" w:eastAsia="zh-CN"/>
        </w:rPr>
        <w:t>100%、2.34</w:t>
      </w:r>
      <w:r>
        <w:rPr>
          <w:rFonts w:hint="eastAsia" w:ascii="仿宋" w:hAnsi="仿宋" w:eastAsia="仿宋"/>
          <w:sz w:val="32"/>
          <w:szCs w:val="32"/>
        </w:rPr>
        <w:t>%。增长主要是由新增的预算单位</w:t>
      </w:r>
      <w:r>
        <w:rPr>
          <w:rFonts w:hint="eastAsia" w:ascii="仿宋" w:hAnsi="仿宋" w:eastAsia="仿宋"/>
          <w:sz w:val="32"/>
          <w:szCs w:val="32"/>
          <w:lang w:eastAsia="zh-CN"/>
        </w:rPr>
        <w:t>火炬中学和容海幼儿园</w:t>
      </w:r>
      <w:r>
        <w:rPr>
          <w:rFonts w:hint="eastAsia" w:ascii="仿宋" w:hAnsi="仿宋" w:eastAsia="仿宋"/>
          <w:sz w:val="32"/>
          <w:szCs w:val="32"/>
        </w:rPr>
        <w:t>相关人员、公用及项目经费导致的。</w:t>
      </w:r>
    </w:p>
    <w:p>
      <w:pPr>
        <w:ind w:firstLine="636"/>
        <w:rPr>
          <w:rFonts w:ascii="仿宋" w:hAnsi="仿宋" w:eastAsia="仿宋"/>
          <w:sz w:val="32"/>
          <w:szCs w:val="32"/>
        </w:rPr>
      </w:pPr>
      <w:r>
        <w:rPr>
          <w:rFonts w:hint="eastAsia" w:ascii="仿宋" w:hAnsi="仿宋" w:eastAsia="仿宋"/>
          <w:sz w:val="32"/>
          <w:szCs w:val="32"/>
        </w:rPr>
        <w:t>二、“三公”经费增减变动原因说明</w:t>
      </w:r>
    </w:p>
    <w:p>
      <w:pPr>
        <w:ind w:firstLine="640" w:firstLineChars="200"/>
        <w:rPr>
          <w:rFonts w:ascii="仿宋" w:hAnsi="仿宋" w:eastAsia="仿宋"/>
          <w:sz w:val="32"/>
          <w:szCs w:val="32"/>
        </w:rPr>
      </w:pPr>
      <w:r>
        <w:rPr>
          <w:rFonts w:hint="eastAsia" w:ascii="仿宋" w:hAnsi="仿宋" w:eastAsia="仿宋"/>
          <w:sz w:val="32"/>
          <w:szCs w:val="32"/>
        </w:rPr>
        <w:t>长治市直教育系统</w:t>
      </w:r>
      <w:r>
        <w:rPr>
          <w:rFonts w:hint="eastAsia" w:ascii="仿宋" w:hAnsi="仿宋" w:eastAsia="仿宋"/>
          <w:sz w:val="32"/>
          <w:szCs w:val="32"/>
          <w:lang w:eastAsia="zh-CN"/>
        </w:rPr>
        <w:t>2018</w:t>
      </w:r>
      <w:r>
        <w:rPr>
          <w:rFonts w:hint="eastAsia" w:ascii="仿宋" w:hAnsi="仿宋" w:eastAsia="仿宋"/>
          <w:sz w:val="32"/>
          <w:szCs w:val="32"/>
        </w:rPr>
        <w:t>年“三公”经费财政拨款经费预算支出</w:t>
      </w:r>
      <w:r>
        <w:rPr>
          <w:rFonts w:hint="eastAsia" w:ascii="仿宋" w:hAnsi="仿宋" w:eastAsia="仿宋" w:cs="宋体"/>
          <w:kern w:val="0"/>
          <w:sz w:val="32"/>
          <w:szCs w:val="32"/>
          <w:lang w:val="en-US" w:eastAsia="zh-CN"/>
        </w:rPr>
        <w:t>72.41</w:t>
      </w:r>
      <w:r>
        <w:rPr>
          <w:rFonts w:hint="eastAsia" w:ascii="仿宋" w:hAnsi="仿宋" w:eastAsia="仿宋" w:cs="宋体"/>
          <w:kern w:val="0"/>
          <w:sz w:val="32"/>
          <w:szCs w:val="32"/>
        </w:rPr>
        <w:t>万元，比上年</w:t>
      </w:r>
      <w:r>
        <w:rPr>
          <w:rFonts w:hint="eastAsia" w:ascii="仿宋" w:hAnsi="仿宋" w:eastAsia="仿宋" w:cs="宋体"/>
          <w:kern w:val="0"/>
          <w:sz w:val="32"/>
          <w:szCs w:val="32"/>
          <w:lang w:eastAsia="zh-CN"/>
        </w:rPr>
        <w:t>增加</w:t>
      </w:r>
      <w:r>
        <w:rPr>
          <w:rFonts w:hint="eastAsia" w:ascii="仿宋" w:hAnsi="仿宋" w:eastAsia="仿宋" w:cs="宋体"/>
          <w:kern w:val="0"/>
          <w:sz w:val="32"/>
          <w:szCs w:val="32"/>
          <w:lang w:val="en-US" w:eastAsia="zh-CN"/>
        </w:rPr>
        <w:t>25.47</w:t>
      </w:r>
      <w:r>
        <w:rPr>
          <w:rFonts w:hint="eastAsia" w:ascii="仿宋" w:hAnsi="仿宋" w:eastAsia="仿宋" w:cs="宋体"/>
          <w:kern w:val="0"/>
          <w:sz w:val="32"/>
          <w:szCs w:val="32"/>
        </w:rPr>
        <w:t>%，</w:t>
      </w:r>
      <w:r>
        <w:rPr>
          <w:rFonts w:hint="eastAsia" w:ascii="仿宋" w:hAnsi="仿宋" w:eastAsia="仿宋"/>
          <w:sz w:val="32"/>
          <w:szCs w:val="32"/>
        </w:rPr>
        <w:t>其中，公务接待费支出</w:t>
      </w:r>
      <w:r>
        <w:rPr>
          <w:rFonts w:hint="eastAsia" w:ascii="仿宋" w:hAnsi="仿宋" w:eastAsia="仿宋"/>
          <w:sz w:val="32"/>
          <w:szCs w:val="32"/>
          <w:lang w:val="en-US" w:eastAsia="zh-CN"/>
        </w:rPr>
        <w:t>16.41</w:t>
      </w:r>
      <w:r>
        <w:rPr>
          <w:rFonts w:hint="eastAsia" w:ascii="仿宋" w:hAnsi="仿宋" w:eastAsia="仿宋"/>
          <w:sz w:val="32"/>
          <w:szCs w:val="32"/>
        </w:rPr>
        <w:t>万元，比上年减少</w:t>
      </w:r>
      <w:r>
        <w:rPr>
          <w:rFonts w:hint="eastAsia" w:ascii="仿宋" w:hAnsi="仿宋" w:eastAsia="仿宋"/>
          <w:sz w:val="32"/>
          <w:szCs w:val="32"/>
          <w:lang w:val="en-US" w:eastAsia="zh-CN"/>
        </w:rPr>
        <w:t>20.76</w:t>
      </w:r>
      <w:r>
        <w:rPr>
          <w:rFonts w:hint="eastAsia" w:ascii="仿宋" w:hAnsi="仿宋" w:eastAsia="仿宋"/>
          <w:sz w:val="32"/>
          <w:szCs w:val="32"/>
        </w:rPr>
        <w:t>%，公务用车运行维护费</w:t>
      </w:r>
      <w:r>
        <w:rPr>
          <w:rFonts w:hint="eastAsia" w:ascii="仿宋" w:hAnsi="仿宋" w:eastAsia="仿宋"/>
          <w:sz w:val="32"/>
          <w:szCs w:val="32"/>
          <w:lang w:val="en-US" w:eastAsia="zh-CN"/>
        </w:rPr>
        <w:t>56</w:t>
      </w:r>
      <w:r>
        <w:rPr>
          <w:rFonts w:hint="eastAsia" w:ascii="仿宋" w:hAnsi="仿宋" w:eastAsia="仿宋"/>
          <w:sz w:val="32"/>
          <w:szCs w:val="32"/>
        </w:rPr>
        <w:t>万元，比上年</w:t>
      </w:r>
      <w:r>
        <w:rPr>
          <w:rFonts w:hint="eastAsia" w:ascii="仿宋" w:hAnsi="仿宋" w:eastAsia="仿宋"/>
          <w:sz w:val="32"/>
          <w:szCs w:val="32"/>
          <w:lang w:eastAsia="zh-CN"/>
        </w:rPr>
        <w:t>增加</w:t>
      </w:r>
      <w:r>
        <w:rPr>
          <w:rFonts w:hint="eastAsia" w:ascii="仿宋" w:hAnsi="仿宋" w:eastAsia="仿宋"/>
          <w:sz w:val="32"/>
          <w:szCs w:val="32"/>
          <w:lang w:val="en-US" w:eastAsia="zh-CN"/>
        </w:rPr>
        <w:t>51.35</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的主要原因是</w:t>
      </w:r>
      <w:r>
        <w:rPr>
          <w:rFonts w:hint="eastAsia" w:ascii="仿宋" w:hAnsi="仿宋" w:eastAsia="仿宋"/>
          <w:sz w:val="32"/>
          <w:szCs w:val="32"/>
          <w:lang w:eastAsia="zh-CN"/>
        </w:rPr>
        <w:t>公车改革后重新核定公车数量比上年增加，另新增火炬中学和容海幼儿园</w:t>
      </w:r>
      <w:r>
        <w:rPr>
          <w:rFonts w:hint="eastAsia" w:ascii="仿宋" w:hAnsi="仿宋" w:eastAsia="仿宋"/>
          <w:sz w:val="32"/>
          <w:szCs w:val="32"/>
          <w:lang w:val="en-US" w:eastAsia="zh-CN"/>
        </w:rPr>
        <w:t>2个预算单位的公务用车。</w:t>
      </w:r>
    </w:p>
    <w:p>
      <w:pPr>
        <w:ind w:firstLine="636"/>
        <w:rPr>
          <w:rFonts w:ascii="仿宋" w:hAnsi="仿宋" w:eastAsia="仿宋"/>
          <w:sz w:val="32"/>
          <w:szCs w:val="32"/>
        </w:rPr>
      </w:pPr>
      <w:r>
        <w:rPr>
          <w:rFonts w:hint="eastAsia" w:ascii="仿宋" w:hAnsi="仿宋" w:eastAsia="仿宋"/>
          <w:sz w:val="32"/>
          <w:szCs w:val="32"/>
        </w:rPr>
        <w:t>三、机关运行经费增减变动原因说明</w:t>
      </w:r>
    </w:p>
    <w:p>
      <w:pPr>
        <w:ind w:firstLine="636"/>
        <w:rPr>
          <w:rFonts w:ascii="仿宋" w:hAnsi="仿宋" w:eastAsia="仿宋"/>
          <w:sz w:val="32"/>
          <w:szCs w:val="32"/>
        </w:rPr>
      </w:pPr>
      <w:r>
        <w:rPr>
          <w:rFonts w:hint="eastAsia" w:ascii="仿宋" w:hAnsi="仿宋" w:eastAsia="仿宋"/>
          <w:sz w:val="32"/>
          <w:szCs w:val="32"/>
        </w:rPr>
        <w:t>市直教育系统</w:t>
      </w:r>
      <w:r>
        <w:rPr>
          <w:rFonts w:hint="eastAsia" w:ascii="仿宋" w:hAnsi="仿宋" w:eastAsia="仿宋"/>
          <w:sz w:val="32"/>
          <w:szCs w:val="32"/>
          <w:lang w:eastAsia="zh-CN"/>
        </w:rPr>
        <w:t>2018</w:t>
      </w:r>
      <w:r>
        <w:rPr>
          <w:rFonts w:hint="eastAsia" w:ascii="仿宋" w:hAnsi="仿宋" w:eastAsia="仿宋"/>
          <w:sz w:val="32"/>
          <w:szCs w:val="32"/>
        </w:rPr>
        <w:t>年所属市教育局和招生考试管理中心2家行政参公单位的机关运行经费财政拨款预算</w:t>
      </w:r>
      <w:r>
        <w:rPr>
          <w:rFonts w:hint="eastAsia" w:ascii="仿宋" w:hAnsi="仿宋" w:eastAsia="仿宋"/>
          <w:sz w:val="32"/>
          <w:szCs w:val="32"/>
          <w:lang w:val="en-US" w:eastAsia="zh-CN"/>
        </w:rPr>
        <w:t>139.09</w:t>
      </w:r>
      <w:r>
        <w:rPr>
          <w:rFonts w:hint="eastAsia" w:ascii="仿宋" w:hAnsi="仿宋" w:eastAsia="仿宋"/>
          <w:sz w:val="32"/>
          <w:szCs w:val="32"/>
        </w:rPr>
        <w:t>万元，比</w:t>
      </w:r>
      <w:r>
        <w:rPr>
          <w:rFonts w:hint="eastAsia" w:ascii="仿宋" w:hAnsi="仿宋" w:eastAsia="仿宋"/>
          <w:sz w:val="32"/>
          <w:szCs w:val="32"/>
          <w:lang w:eastAsia="zh-CN"/>
        </w:rPr>
        <w:t>2017</w:t>
      </w:r>
      <w:r>
        <w:rPr>
          <w:rFonts w:hint="eastAsia" w:ascii="仿宋" w:hAnsi="仿宋" w:eastAsia="仿宋"/>
          <w:sz w:val="32"/>
          <w:szCs w:val="32"/>
        </w:rPr>
        <w:t>年预算增加</w:t>
      </w:r>
      <w:r>
        <w:rPr>
          <w:rFonts w:hint="eastAsia" w:ascii="仿宋" w:hAnsi="仿宋" w:eastAsia="仿宋"/>
          <w:sz w:val="32"/>
          <w:szCs w:val="32"/>
          <w:lang w:val="en-US" w:eastAsia="zh-CN"/>
        </w:rPr>
        <w:t>16.05</w:t>
      </w:r>
      <w:r>
        <w:rPr>
          <w:rFonts w:hint="eastAsia" w:ascii="仿宋" w:hAnsi="仿宋" w:eastAsia="仿宋"/>
          <w:sz w:val="32"/>
          <w:szCs w:val="32"/>
        </w:rPr>
        <w:t>万元，原因是</w:t>
      </w:r>
      <w:r>
        <w:rPr>
          <w:rFonts w:hint="eastAsia" w:ascii="仿宋" w:hAnsi="仿宋" w:eastAsia="仿宋"/>
          <w:sz w:val="32"/>
          <w:szCs w:val="32"/>
          <w:lang w:eastAsia="zh-CN"/>
        </w:rPr>
        <w:t>我局原闲置办公用房在交由科协、治超办等单位使用后，市政府会议纪要规定，上述单位的办公用房的日常维护、保洁等仍由我局负担，因此，</w:t>
      </w:r>
      <w:r>
        <w:rPr>
          <w:rFonts w:hint="eastAsia" w:ascii="仿宋" w:hAnsi="仿宋" w:eastAsia="仿宋"/>
          <w:sz w:val="32"/>
          <w:szCs w:val="32"/>
          <w:lang w:val="en-US" w:eastAsia="zh-CN"/>
        </w:rPr>
        <w:t>2018年机关运行经费增加。</w:t>
      </w:r>
    </w:p>
    <w:p>
      <w:pPr>
        <w:ind w:firstLine="636"/>
        <w:rPr>
          <w:rFonts w:ascii="仿宋" w:hAnsi="仿宋" w:eastAsia="仿宋"/>
          <w:sz w:val="32"/>
          <w:szCs w:val="32"/>
        </w:rPr>
      </w:pPr>
      <w:r>
        <w:rPr>
          <w:rFonts w:hint="eastAsia" w:ascii="仿宋" w:hAnsi="仿宋" w:eastAsia="仿宋"/>
          <w:sz w:val="32"/>
          <w:szCs w:val="32"/>
        </w:rPr>
        <w:t>四、其他说明</w:t>
      </w:r>
    </w:p>
    <w:p>
      <w:pPr>
        <w:ind w:firstLine="636"/>
        <w:rPr>
          <w:rFonts w:ascii="仿宋" w:hAnsi="仿宋" w:eastAsia="仿宋" w:cs="楷体_GB2312"/>
          <w:color w:val="auto"/>
          <w:sz w:val="32"/>
          <w:szCs w:val="32"/>
        </w:rPr>
      </w:pPr>
      <w:r>
        <w:rPr>
          <w:rFonts w:hint="eastAsia" w:ascii="仿宋" w:hAnsi="仿宋" w:eastAsia="仿宋" w:cs="楷体_GB2312"/>
          <w:color w:val="auto"/>
          <w:sz w:val="32"/>
          <w:szCs w:val="32"/>
        </w:rPr>
        <w:t>（一）政府采购情况</w:t>
      </w:r>
    </w:p>
    <w:p>
      <w:pPr>
        <w:ind w:firstLine="636"/>
        <w:rPr>
          <w:rFonts w:hint="eastAsia" w:ascii="仿宋" w:hAnsi="仿宋" w:eastAsia="仿宋" w:cs="楷体_GB2312"/>
          <w:color w:val="auto"/>
          <w:sz w:val="32"/>
          <w:szCs w:val="32"/>
        </w:rPr>
      </w:pPr>
      <w:r>
        <w:rPr>
          <w:rFonts w:hint="eastAsia" w:ascii="仿宋" w:hAnsi="仿宋" w:eastAsia="仿宋" w:cs="楷体_GB2312"/>
          <w:color w:val="auto"/>
          <w:sz w:val="32"/>
          <w:szCs w:val="32"/>
          <w:lang w:eastAsia="zh-CN"/>
        </w:rPr>
        <w:t>2018</w:t>
      </w:r>
      <w:r>
        <w:rPr>
          <w:rFonts w:hint="eastAsia" w:ascii="仿宋" w:hAnsi="仿宋" w:eastAsia="仿宋" w:cs="楷体_GB2312"/>
          <w:color w:val="auto"/>
          <w:sz w:val="32"/>
          <w:szCs w:val="32"/>
        </w:rPr>
        <w:t>年市直教育系统各单位政府采购预算总额</w:t>
      </w:r>
      <w:r>
        <w:rPr>
          <w:rFonts w:hint="eastAsia" w:ascii="仿宋" w:hAnsi="仿宋" w:eastAsia="仿宋" w:cs="楷体_GB2312"/>
          <w:color w:val="auto"/>
          <w:sz w:val="32"/>
          <w:szCs w:val="32"/>
          <w:lang w:val="en-US" w:eastAsia="zh-CN"/>
        </w:rPr>
        <w:t>4953.47</w:t>
      </w:r>
      <w:r>
        <w:rPr>
          <w:rFonts w:hint="eastAsia" w:ascii="仿宋" w:hAnsi="仿宋" w:eastAsia="仿宋" w:cs="楷体_GB2312"/>
          <w:color w:val="auto"/>
          <w:sz w:val="32"/>
          <w:szCs w:val="32"/>
        </w:rPr>
        <w:t>万元，其中：政府采购货物预算</w:t>
      </w:r>
      <w:r>
        <w:rPr>
          <w:rFonts w:hint="eastAsia" w:ascii="仿宋" w:hAnsi="仿宋" w:eastAsia="仿宋" w:cs="楷体_GB2312"/>
          <w:color w:val="auto"/>
          <w:sz w:val="32"/>
          <w:szCs w:val="32"/>
          <w:lang w:val="en-US" w:eastAsia="zh-CN"/>
        </w:rPr>
        <w:t>2229.35</w:t>
      </w:r>
      <w:r>
        <w:rPr>
          <w:rFonts w:hint="eastAsia" w:ascii="仿宋" w:hAnsi="仿宋" w:eastAsia="仿宋" w:cs="楷体_GB2312"/>
          <w:color w:val="auto"/>
          <w:sz w:val="32"/>
          <w:szCs w:val="32"/>
        </w:rPr>
        <w:t>万元、政府采购工程预算1305.55万元、政府采购服务预算</w:t>
      </w:r>
      <w:r>
        <w:rPr>
          <w:rFonts w:hint="eastAsia" w:ascii="仿宋" w:hAnsi="仿宋" w:eastAsia="仿宋" w:cs="楷体_GB2312"/>
          <w:color w:val="auto"/>
          <w:sz w:val="32"/>
          <w:szCs w:val="32"/>
          <w:lang w:val="en-US" w:eastAsia="zh-CN"/>
        </w:rPr>
        <w:t>1418.57</w:t>
      </w:r>
      <w:r>
        <w:rPr>
          <w:rFonts w:hint="eastAsia" w:ascii="仿宋" w:hAnsi="仿宋" w:eastAsia="仿宋" w:cs="楷体_GB2312"/>
          <w:color w:val="auto"/>
          <w:sz w:val="32"/>
          <w:szCs w:val="32"/>
        </w:rPr>
        <w:t>万元。</w:t>
      </w:r>
    </w:p>
    <w:p>
      <w:pPr>
        <w:ind w:firstLine="636"/>
        <w:rPr>
          <w:rFonts w:hint="eastAsia" w:ascii="仿宋" w:hAnsi="仿宋" w:eastAsia="仿宋" w:cs="楷体_GB2312"/>
          <w:color w:val="auto"/>
          <w:sz w:val="32"/>
          <w:szCs w:val="32"/>
          <w:lang w:eastAsia="zh-CN"/>
        </w:rPr>
      </w:pPr>
      <w:r>
        <w:rPr>
          <w:rFonts w:hint="eastAsia" w:ascii="仿宋" w:hAnsi="仿宋" w:eastAsia="仿宋" w:cs="楷体_GB2312"/>
          <w:color w:val="auto"/>
          <w:sz w:val="32"/>
          <w:szCs w:val="32"/>
          <w:lang w:eastAsia="zh-CN"/>
        </w:rPr>
        <w:t>（二）政府购买服务指导性目录</w:t>
      </w:r>
    </w:p>
    <w:p>
      <w:pPr>
        <w:ind w:firstLine="636"/>
        <w:rPr>
          <w:rFonts w:hint="eastAsia" w:ascii="仿宋" w:hAnsi="仿宋" w:eastAsia="仿宋" w:cs="楷体_GB2312"/>
          <w:color w:val="auto"/>
          <w:sz w:val="32"/>
          <w:szCs w:val="32"/>
        </w:rPr>
      </w:pPr>
    </w:p>
    <w:tbl>
      <w:tblPr>
        <w:tblW w:w="9047" w:type="dxa"/>
        <w:tblInd w:w="0" w:type="dxa"/>
        <w:shd w:val="clear"/>
        <w:tblLayout w:type="fixed"/>
        <w:tblCellMar>
          <w:top w:w="0" w:type="dxa"/>
          <w:left w:w="0" w:type="dxa"/>
          <w:bottom w:w="0" w:type="dxa"/>
          <w:right w:w="0" w:type="dxa"/>
        </w:tblCellMar>
      </w:tblPr>
      <w:tblGrid>
        <w:gridCol w:w="1258"/>
        <w:gridCol w:w="1545"/>
        <w:gridCol w:w="1305"/>
        <w:gridCol w:w="1320"/>
        <w:gridCol w:w="3405"/>
        <w:gridCol w:w="214"/>
      </w:tblGrid>
      <w:tr>
        <w:tblPrEx>
          <w:shd w:val="clear"/>
          <w:tblLayout w:type="fixed"/>
          <w:tblCellMar>
            <w:top w:w="0" w:type="dxa"/>
            <w:left w:w="0" w:type="dxa"/>
            <w:bottom w:w="0" w:type="dxa"/>
            <w:right w:w="0" w:type="dxa"/>
          </w:tblCellMar>
        </w:tblPrEx>
        <w:trPr>
          <w:gridAfter w:val="5"/>
          <w:wAfter w:w="7789" w:type="dxa"/>
          <w:trHeight w:val="499" w:hRule="atLeast"/>
        </w:trPr>
        <w:tc>
          <w:tcPr>
            <w:tcW w:w="1258" w:type="dxa"/>
            <w:tcBorders>
              <w:top w:val="nil"/>
              <w:left w:val="nil"/>
              <w:bottom w:val="nil"/>
              <w:right w:val="nil"/>
            </w:tcBorders>
            <w:shd w:val="cle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1258" w:type="dxa"/>
            <w:tcBorders>
              <w:top w:val="nil"/>
              <w:left w:val="nil"/>
              <w:bottom w:val="nil"/>
              <w:right w:val="nil"/>
            </w:tcBorders>
            <w:shd w:val="clear"/>
            <w:vAlign w:val="center"/>
          </w:tcPr>
          <w:p>
            <w:pPr>
              <w:rPr>
                <w:rFonts w:hint="eastAsia" w:asciiTheme="minorEastAsia" w:hAnsiTheme="minorEastAsia" w:eastAsiaTheme="minorEastAsia" w:cstheme="minorEastAsia"/>
                <w:b/>
                <w:i w:val="0"/>
                <w:color w:val="000000"/>
                <w:sz w:val="20"/>
                <w:szCs w:val="20"/>
                <w:u w:val="none"/>
              </w:rPr>
            </w:pPr>
          </w:p>
        </w:tc>
        <w:tc>
          <w:tcPr>
            <w:tcW w:w="1545" w:type="dxa"/>
            <w:tcBorders>
              <w:top w:val="nil"/>
              <w:left w:val="nil"/>
              <w:bottom w:val="nil"/>
              <w:right w:val="nil"/>
            </w:tcBorders>
            <w:shd w:val="clear"/>
            <w:vAlign w:val="center"/>
          </w:tcPr>
          <w:p>
            <w:pPr>
              <w:rPr>
                <w:rFonts w:hint="eastAsia" w:asciiTheme="minorEastAsia" w:hAnsiTheme="minorEastAsia" w:eastAsiaTheme="minorEastAsia" w:cstheme="minorEastAsia"/>
                <w:b/>
                <w:i w:val="0"/>
                <w:color w:val="000000"/>
                <w:sz w:val="20"/>
                <w:szCs w:val="20"/>
                <w:u w:val="none"/>
              </w:rPr>
            </w:pPr>
          </w:p>
        </w:tc>
        <w:tc>
          <w:tcPr>
            <w:tcW w:w="1305" w:type="dxa"/>
            <w:tcBorders>
              <w:top w:val="nil"/>
              <w:left w:val="nil"/>
              <w:bottom w:val="nil"/>
              <w:right w:val="nil"/>
            </w:tcBorders>
            <w:shd w:val="clear"/>
            <w:vAlign w:val="center"/>
          </w:tcPr>
          <w:p>
            <w:pPr>
              <w:rPr>
                <w:rFonts w:hint="eastAsia" w:asciiTheme="minorEastAsia" w:hAnsiTheme="minorEastAsia" w:eastAsiaTheme="minorEastAsia" w:cstheme="minorEastAsia"/>
                <w:b/>
                <w:i w:val="0"/>
                <w:color w:val="000000"/>
                <w:sz w:val="20"/>
                <w:szCs w:val="20"/>
                <w:u w:val="none"/>
              </w:rPr>
            </w:pPr>
          </w:p>
        </w:tc>
        <w:tc>
          <w:tcPr>
            <w:tcW w:w="1320" w:type="dxa"/>
            <w:tcBorders>
              <w:top w:val="nil"/>
              <w:left w:val="nil"/>
              <w:bottom w:val="nil"/>
              <w:right w:val="nil"/>
            </w:tcBorders>
            <w:shd w:val="clear"/>
            <w:vAlign w:val="center"/>
          </w:tcPr>
          <w:p>
            <w:pPr>
              <w:rPr>
                <w:rFonts w:hint="eastAsia" w:asciiTheme="minorEastAsia" w:hAnsiTheme="minorEastAsia" w:eastAsiaTheme="minorEastAsia" w:cstheme="minorEastAsia"/>
                <w:b/>
                <w:i w:val="0"/>
                <w:color w:val="000000"/>
                <w:sz w:val="20"/>
                <w:szCs w:val="20"/>
                <w:u w:val="none"/>
              </w:rPr>
            </w:pPr>
          </w:p>
        </w:tc>
        <w:tc>
          <w:tcPr>
            <w:tcW w:w="3619" w:type="dxa"/>
            <w:gridSpan w:val="2"/>
            <w:tcBorders>
              <w:top w:val="nil"/>
              <w:left w:val="nil"/>
              <w:bottom w:val="nil"/>
              <w:right w:val="nil"/>
            </w:tcBorders>
            <w:shd w:val="clear"/>
            <w:vAlign w:val="center"/>
          </w:tcPr>
          <w:p>
            <w:pPr>
              <w:rPr>
                <w:rFonts w:hint="eastAsia" w:asciiTheme="minorEastAsia" w:hAnsiTheme="minorEastAsia" w:eastAsiaTheme="minorEastAsia" w:cstheme="minorEastAsia"/>
                <w:b/>
                <w:i w:val="0"/>
                <w:color w:val="000000"/>
                <w:sz w:val="20"/>
                <w:szCs w:val="20"/>
                <w:u w:val="none"/>
              </w:rPr>
            </w:pPr>
          </w:p>
        </w:tc>
      </w:tr>
      <w:tr>
        <w:tblPrEx>
          <w:tblLayout w:type="fixed"/>
          <w:tblCellMar>
            <w:top w:w="0" w:type="dxa"/>
            <w:left w:w="0" w:type="dxa"/>
            <w:bottom w:w="0" w:type="dxa"/>
            <w:right w:w="0" w:type="dxa"/>
          </w:tblCellMar>
        </w:tblPrEx>
        <w:trPr>
          <w:trHeight w:val="450" w:hRule="atLeast"/>
        </w:trPr>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bdr w:val="none" w:color="auto" w:sz="0" w:space="0"/>
                <w:lang w:val="en-US" w:eastAsia="zh-CN" w:bidi="ar"/>
              </w:rPr>
              <w:t>目录编码</w:t>
            </w:r>
          </w:p>
        </w:tc>
        <w:tc>
          <w:tcPr>
            <w:tcW w:w="1545"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bdr w:val="none" w:color="auto" w:sz="0" w:space="0"/>
                <w:lang w:val="en-US" w:eastAsia="zh-CN" w:bidi="ar"/>
              </w:rPr>
              <w:t>一级</w:t>
            </w:r>
          </w:p>
        </w:tc>
        <w:tc>
          <w:tcPr>
            <w:tcW w:w="1305"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bdr w:val="none" w:color="auto" w:sz="0" w:space="0"/>
                <w:lang w:val="en-US" w:eastAsia="zh-CN" w:bidi="ar"/>
              </w:rPr>
              <w:t>二级</w:t>
            </w:r>
          </w:p>
        </w:tc>
        <w:tc>
          <w:tcPr>
            <w:tcW w:w="13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bdr w:val="none" w:color="auto" w:sz="0" w:space="0"/>
                <w:lang w:val="en-US" w:eastAsia="zh-CN" w:bidi="ar"/>
              </w:rPr>
              <w:t>三级</w:t>
            </w:r>
          </w:p>
        </w:tc>
        <w:tc>
          <w:tcPr>
            <w:tcW w:w="3619"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0"/>
                <w:szCs w:val="20"/>
                <w:u w:val="none"/>
              </w:rPr>
            </w:pPr>
            <w:r>
              <w:rPr>
                <w:rFonts w:hint="eastAsia" w:asciiTheme="minorEastAsia" w:hAnsiTheme="minorEastAsia" w:eastAsiaTheme="minorEastAsia" w:cstheme="minorEastAsia"/>
                <w:b/>
                <w:i w:val="0"/>
                <w:color w:val="000000"/>
                <w:kern w:val="0"/>
                <w:sz w:val="20"/>
                <w:szCs w:val="20"/>
                <w:u w:val="none"/>
                <w:bdr w:val="none" w:color="auto" w:sz="0" w:space="0"/>
                <w:lang w:val="en-US" w:eastAsia="zh-CN" w:bidi="ar"/>
              </w:rPr>
              <w:t>说明</w:t>
            </w:r>
          </w:p>
        </w:tc>
      </w:tr>
      <w:tr>
        <w:tblPrEx>
          <w:tblLayout w:type="fixed"/>
          <w:tblCellMar>
            <w:top w:w="0" w:type="dxa"/>
            <w:left w:w="0" w:type="dxa"/>
            <w:bottom w:w="0" w:type="dxa"/>
            <w:right w:w="0" w:type="dxa"/>
          </w:tblCellMar>
        </w:tblPrEx>
        <w:trPr>
          <w:trHeight w:val="285" w:hRule="atLeast"/>
        </w:trPr>
        <w:tc>
          <w:tcPr>
            <w:tcW w:w="1258"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A</w:t>
            </w:r>
          </w:p>
        </w:tc>
        <w:tc>
          <w:tcPr>
            <w:tcW w:w="154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一、基本公共服务</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619" w:type="dxa"/>
            <w:gridSpan w:val="2"/>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trHeight w:val="285" w:hRule="atLeast"/>
        </w:trPr>
        <w:tc>
          <w:tcPr>
            <w:tcW w:w="1258"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A01</w:t>
            </w:r>
          </w:p>
        </w:tc>
        <w:tc>
          <w:tcPr>
            <w:tcW w:w="154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教育服务</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619"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rPr>
        <w:tc>
          <w:tcPr>
            <w:tcW w:w="1258" w:type="dxa"/>
            <w:tcBorders>
              <w:top w:val="nil"/>
              <w:left w:val="single" w:color="auto" w:sz="4" w:space="0"/>
              <w:bottom w:val="single" w:color="auto" w:sz="4" w:space="0"/>
              <w:right w:val="single" w:color="auto" w:sz="4" w:space="0"/>
            </w:tcBorders>
            <w:shd w:val="clear" w:color="auto" w:fill="FFFFFF"/>
            <w:tcMar>
              <w:left w:w="405" w:type="dxa"/>
            </w:tcMar>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A0101</w:t>
            </w:r>
          </w:p>
        </w:tc>
        <w:tc>
          <w:tcPr>
            <w:tcW w:w="154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教师教育培训</w:t>
            </w:r>
          </w:p>
        </w:tc>
        <w:tc>
          <w:tcPr>
            <w:tcW w:w="3619" w:type="dxa"/>
            <w:gridSpan w:val="2"/>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中小学教师培训、名师名校长培训、职教师资培训等教师教育培训服务。</w:t>
            </w:r>
          </w:p>
        </w:tc>
      </w:tr>
      <w:tr>
        <w:tblPrEx>
          <w:tblLayout w:type="fixed"/>
          <w:tblCellMar>
            <w:top w:w="0" w:type="dxa"/>
            <w:left w:w="0" w:type="dxa"/>
            <w:bottom w:w="0" w:type="dxa"/>
            <w:right w:w="0" w:type="dxa"/>
          </w:tblCellMar>
        </w:tblPrEx>
        <w:trPr>
          <w:trHeight w:val="285" w:hRule="atLeast"/>
        </w:trPr>
        <w:tc>
          <w:tcPr>
            <w:tcW w:w="1258" w:type="dxa"/>
            <w:tcBorders>
              <w:top w:val="nil"/>
              <w:left w:val="single" w:color="auto" w:sz="4" w:space="0"/>
              <w:bottom w:val="single" w:color="auto" w:sz="4" w:space="0"/>
              <w:right w:val="single" w:color="auto" w:sz="4" w:space="0"/>
            </w:tcBorders>
            <w:shd w:val="clear" w:color="auto" w:fill="FFFFFF"/>
            <w:tcMar>
              <w:left w:w="405" w:type="dxa"/>
            </w:tcMar>
            <w:vAlign w:val="center"/>
          </w:tcPr>
          <w:p>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A0103</w:t>
            </w:r>
          </w:p>
        </w:tc>
        <w:tc>
          <w:tcPr>
            <w:tcW w:w="154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校园安保</w:t>
            </w:r>
          </w:p>
        </w:tc>
        <w:tc>
          <w:tcPr>
            <w:tcW w:w="3619" w:type="dxa"/>
            <w:gridSpan w:val="2"/>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校园安全保卫方面服务。</w:t>
            </w:r>
          </w:p>
        </w:tc>
      </w:tr>
      <w:tr>
        <w:tblPrEx>
          <w:tblLayout w:type="fixed"/>
          <w:tblCellMar>
            <w:top w:w="0" w:type="dxa"/>
            <w:left w:w="0" w:type="dxa"/>
            <w:bottom w:w="0" w:type="dxa"/>
            <w:right w:w="0" w:type="dxa"/>
          </w:tblCellMar>
        </w:tblPrEx>
        <w:trPr>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D</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技术性服务</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619"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D01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技术评审鉴定评估服务</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619"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trHeight w:val="85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D0101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专业技术评估鉴定服务</w:t>
            </w:r>
          </w:p>
        </w:tc>
        <w:tc>
          <w:tcPr>
            <w:tcW w:w="3619"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资产评估、工程造价咨询评估、环境影响评估、节能评估、防雷技术评估、安全评估、安全生产评审、鉴定等服务。</w:t>
            </w:r>
          </w:p>
        </w:tc>
      </w:tr>
      <w:tr>
        <w:tblPrEx>
          <w:tblLayout w:type="fixed"/>
          <w:tblCellMar>
            <w:top w:w="0" w:type="dxa"/>
            <w:left w:w="0" w:type="dxa"/>
            <w:bottom w:w="0" w:type="dxa"/>
            <w:right w:w="0" w:type="dxa"/>
          </w:tblCellMar>
        </w:tblPrEx>
        <w:trPr>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D02</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xml:space="preserve">检验检疫检测服务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619"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trHeight w:val="85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D0201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检测服务</w:t>
            </w:r>
          </w:p>
        </w:tc>
        <w:tc>
          <w:tcPr>
            <w:tcW w:w="3619" w:type="dxa"/>
            <w:gridSpan w:val="2"/>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土木建筑工程、水利、食品、化学、环境、机械、机器等行业开展的质量评定等服务。</w:t>
            </w:r>
          </w:p>
        </w:tc>
      </w:tr>
      <w:tr>
        <w:tblPrEx>
          <w:tblLayout w:type="fixed"/>
          <w:tblCellMar>
            <w:top w:w="0" w:type="dxa"/>
            <w:left w:w="0" w:type="dxa"/>
            <w:bottom w:w="0" w:type="dxa"/>
            <w:right w:w="0" w:type="dxa"/>
          </w:tblCellMar>
        </w:tblPrEx>
        <w:trPr>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D04</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其他</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619" w:type="dxa"/>
            <w:gridSpan w:val="2"/>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D0401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测试服务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技术测试和分析服务等。</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D0402</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工程建设手续服务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工程建设勘测、设计、施工和管理阶段进行的测量、测绘、监理等服务。</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E</w:t>
            </w:r>
          </w:p>
        </w:tc>
        <w:tc>
          <w:tcPr>
            <w:tcW w:w="154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政府履职所需辅助性事项</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E01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法律服务</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E0101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法律服务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法律顾问、法律代理服务、法律监督、证明等服务。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E03</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财务会计审计服务</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114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E0301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审计服务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审计聘请社会审计组织人员及技术专家开展政府投资审计、信息化审计、财务审计、专项审计等服务，重大事项第三方审核、审计等服务。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E05</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技术业务培训服务</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E0501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业务培训服务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开展履职所需业务培训等服务。</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E06</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机关信息系统建设与维护服务</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E0601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软件开发</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基础软件、支撑软件包件、应用软件、嵌入式软件等软件开发。</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E0602</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软件、平台运行维护</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基础环境、硬件、软件、安全等运行维护。</w:t>
            </w:r>
          </w:p>
        </w:tc>
      </w:tr>
      <w:tr>
        <w:tblPrEx>
          <w:tblLayout w:type="fixed"/>
          <w:tblCellMar>
            <w:top w:w="0" w:type="dxa"/>
            <w:left w:w="0" w:type="dxa"/>
            <w:bottom w:w="0" w:type="dxa"/>
            <w:right w:w="0" w:type="dxa"/>
          </w:tblCellMar>
        </w:tblPrEx>
        <w:trPr>
          <w:gridAfter w:val="1"/>
          <w:wAfter w:w="214" w:type="dxa"/>
          <w:trHeight w:val="114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E0603</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信息系统集成实施服务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通过结构化的综合布线系统和计算机网络技术,将各个分离的设备、功能和信息等集成到相关联的，统一协调的系统之中的服务。</w:t>
            </w:r>
          </w:p>
        </w:tc>
      </w:tr>
      <w:tr>
        <w:tblPrEx>
          <w:tblLayout w:type="fixed"/>
          <w:tblCellMar>
            <w:top w:w="0" w:type="dxa"/>
            <w:left w:w="0" w:type="dxa"/>
            <w:bottom w:w="0" w:type="dxa"/>
            <w:right w:w="0" w:type="dxa"/>
          </w:tblCellMar>
        </w:tblPrEx>
        <w:trPr>
          <w:gridAfter w:val="1"/>
          <w:wAfter w:w="214" w:type="dxa"/>
          <w:trHeight w:val="85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E0604</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运营服务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向用户提供租用软件应用系统、业务平台、信息系统基础设施等部分或全部功能的服务，配备操作人员或维护人员。</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E0605</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信息工程监理服务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对大型系统开发、架构、设置的有效性、安全性等方面开展的监理服务。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E07</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后勤服务</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E0701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办公设备维修保养服务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办公设备、专用设备及公务用车等维修保养。</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E0702</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物业服务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设备运行、门窗保养维护、保洁、绿化养护、保安、后勤保障托管等物业服务。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E0704</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印刷服务</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公文、票据、资料等印刷服务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E0705</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餐饮服务</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食堂管理等饮食服务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E0706</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其他</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其他后勤保障服务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E08</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租赁服务</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Style w:val="10"/>
                <w:rFonts w:hint="eastAsia" w:asciiTheme="minorEastAsia" w:hAnsiTheme="minorEastAsia" w:eastAsiaTheme="minorEastAsia" w:cstheme="minorEastAsia"/>
                <w:sz w:val="20"/>
                <w:szCs w:val="20"/>
                <w:bdr w:val="none" w:color="auto" w:sz="0" w:space="0"/>
                <w:lang w:val="en-US" w:eastAsia="zh-CN" w:bidi="ar"/>
              </w:rPr>
              <w:t xml:space="preserve">   E0801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计算机设备及软件租赁</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计算机设备、网络设备、计算机软件等租赁服务，包括云服务。</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E0802</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车辆及其运输机械设备租赁</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乘用车、船舶等车辆及其运输机械设备租赁。</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E0803</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电信服务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电信线路租用、线路管道、基站设施租用等电信服务。</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E09</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其他</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34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r>
      <w:tr>
        <w:tblPrEx>
          <w:tblLayout w:type="fixed"/>
          <w:tblCellMar>
            <w:top w:w="0" w:type="dxa"/>
            <w:left w:w="0" w:type="dxa"/>
            <w:bottom w:w="0" w:type="dxa"/>
            <w:right w:w="0" w:type="dxa"/>
          </w:tblCellMar>
        </w:tblPrEx>
        <w:trPr>
          <w:gridAfter w:val="1"/>
          <w:wAfter w:w="214" w:type="dxa"/>
          <w:trHeight w:val="285"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E0901</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广告服务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政策公告、政策法规宣传等广告服务。</w:t>
            </w:r>
          </w:p>
        </w:tc>
      </w:tr>
      <w:tr>
        <w:tblPrEx>
          <w:tblLayout w:type="fixed"/>
          <w:tblCellMar>
            <w:top w:w="0" w:type="dxa"/>
            <w:left w:w="0" w:type="dxa"/>
            <w:bottom w:w="0" w:type="dxa"/>
            <w:right w:w="0" w:type="dxa"/>
          </w:tblCellMar>
        </w:tblPrEx>
        <w:trPr>
          <w:gridAfter w:val="1"/>
          <w:wAfter w:w="214" w:type="dxa"/>
          <w:trHeight w:val="570" w:hRule="atLeast"/>
        </w:trPr>
        <w:tc>
          <w:tcPr>
            <w:tcW w:w="1258"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0"/>
                <w:szCs w:val="20"/>
                <w:u w:val="none"/>
              </w:rPr>
            </w:pPr>
            <w:r>
              <w:rPr>
                <w:rFonts w:hint="eastAsia" w:asciiTheme="minorEastAsia" w:hAnsiTheme="minorEastAsia" w:eastAsiaTheme="minorEastAsia" w:cstheme="minorEastAsia"/>
                <w:i w:val="0"/>
                <w:color w:val="auto"/>
                <w:kern w:val="0"/>
                <w:sz w:val="20"/>
                <w:szCs w:val="20"/>
                <w:u w:val="none"/>
                <w:bdr w:val="none" w:color="auto" w:sz="0" w:space="0"/>
                <w:lang w:val="en-US" w:eastAsia="zh-CN" w:bidi="ar"/>
              </w:rPr>
              <w:t xml:space="preserve">   E0902</w:t>
            </w:r>
          </w:p>
        </w:tc>
        <w:tc>
          <w:tcPr>
            <w:tcW w:w="154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05"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　</w:t>
            </w:r>
          </w:p>
        </w:tc>
        <w:tc>
          <w:tcPr>
            <w:tcW w:w="13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档案服务</w:t>
            </w:r>
          </w:p>
        </w:tc>
        <w:tc>
          <w:tcPr>
            <w:tcW w:w="34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bdr w:val="none" w:color="auto" w:sz="0" w:space="0"/>
                <w:lang w:val="en-US" w:eastAsia="zh-CN" w:bidi="ar"/>
              </w:rPr>
              <w:t>数据库备份、档案寄存、档案数字化转换等档案服务。</w:t>
            </w:r>
          </w:p>
        </w:tc>
      </w:tr>
    </w:tbl>
    <w:p>
      <w:pPr>
        <w:ind w:firstLine="636"/>
        <w:rPr>
          <w:rFonts w:ascii="仿宋" w:hAnsi="仿宋" w:eastAsia="仿宋" w:cs="楷体_GB2312"/>
          <w:color w:val="auto"/>
          <w:sz w:val="32"/>
          <w:szCs w:val="32"/>
        </w:rPr>
      </w:pPr>
      <w:r>
        <w:rPr>
          <w:rFonts w:hint="eastAsia" w:ascii="仿宋" w:hAnsi="仿宋" w:eastAsia="仿宋" w:cs="楷体_GB2312"/>
          <w:color w:val="auto"/>
          <w:sz w:val="32"/>
          <w:szCs w:val="32"/>
        </w:rPr>
        <w:t>（</w:t>
      </w:r>
      <w:r>
        <w:rPr>
          <w:rFonts w:hint="eastAsia" w:ascii="仿宋" w:hAnsi="仿宋" w:eastAsia="仿宋" w:cs="楷体_GB2312"/>
          <w:color w:val="auto"/>
          <w:sz w:val="32"/>
          <w:szCs w:val="32"/>
          <w:lang w:eastAsia="zh-CN"/>
        </w:rPr>
        <w:t>三</w:t>
      </w:r>
      <w:r>
        <w:rPr>
          <w:rFonts w:hint="eastAsia" w:ascii="仿宋" w:hAnsi="仿宋" w:eastAsia="仿宋" w:cs="楷体_GB2312"/>
          <w:color w:val="auto"/>
          <w:sz w:val="32"/>
          <w:szCs w:val="32"/>
        </w:rPr>
        <w:t>）国有资产占有使用情况</w:t>
      </w:r>
    </w:p>
    <w:p>
      <w:pPr>
        <w:ind w:firstLine="636"/>
        <w:rPr>
          <w:rFonts w:ascii="仿宋" w:hAnsi="仿宋" w:eastAsia="仿宋" w:cs="楷体_GB2312"/>
          <w:sz w:val="32"/>
          <w:szCs w:val="32"/>
        </w:rPr>
      </w:pPr>
      <w:r>
        <w:rPr>
          <w:rFonts w:hint="eastAsia" w:ascii="仿宋" w:hAnsi="仿宋" w:eastAsia="仿宋" w:cs="楷体_GB2312"/>
          <w:sz w:val="32"/>
          <w:szCs w:val="32"/>
        </w:rPr>
        <w:t>1.车辆情况</w:t>
      </w:r>
    </w:p>
    <w:p>
      <w:pPr>
        <w:ind w:firstLine="636"/>
        <w:rPr>
          <w:rFonts w:ascii="仿宋" w:hAnsi="仿宋" w:eastAsia="仿宋" w:cs="楷体_GB2312"/>
          <w:sz w:val="32"/>
          <w:szCs w:val="32"/>
        </w:rPr>
      </w:pPr>
      <w:r>
        <w:rPr>
          <w:rFonts w:hint="eastAsia" w:ascii="仿宋" w:hAnsi="仿宋" w:eastAsia="仿宋" w:cs="楷体_GB2312"/>
          <w:sz w:val="32"/>
          <w:szCs w:val="32"/>
          <w:lang w:eastAsia="zh-CN"/>
        </w:rPr>
        <w:t>2018</w:t>
      </w:r>
      <w:r>
        <w:rPr>
          <w:rFonts w:hint="eastAsia" w:ascii="仿宋" w:hAnsi="仿宋" w:eastAsia="仿宋" w:cs="楷体_GB2312"/>
          <w:sz w:val="32"/>
          <w:szCs w:val="32"/>
        </w:rPr>
        <w:t>年市直教育系统核定小汽车编制数3</w:t>
      </w:r>
      <w:r>
        <w:rPr>
          <w:rFonts w:hint="eastAsia" w:ascii="仿宋" w:hAnsi="仿宋" w:eastAsia="仿宋" w:cs="楷体_GB2312"/>
          <w:sz w:val="32"/>
          <w:szCs w:val="32"/>
          <w:lang w:val="en-US" w:eastAsia="zh-CN"/>
        </w:rPr>
        <w:t>2</w:t>
      </w:r>
      <w:r>
        <w:rPr>
          <w:rFonts w:hint="eastAsia" w:ascii="仿宋" w:hAnsi="仿宋" w:eastAsia="仿宋" w:cs="楷体_GB2312"/>
          <w:sz w:val="32"/>
          <w:szCs w:val="32"/>
        </w:rPr>
        <w:t>辆，实有小汽车3</w:t>
      </w:r>
      <w:r>
        <w:rPr>
          <w:rFonts w:hint="eastAsia" w:ascii="仿宋" w:hAnsi="仿宋" w:eastAsia="仿宋" w:cs="楷体_GB2312"/>
          <w:sz w:val="32"/>
          <w:szCs w:val="32"/>
          <w:lang w:val="en-US" w:eastAsia="zh-CN"/>
        </w:rPr>
        <w:t>3</w:t>
      </w:r>
      <w:r>
        <w:rPr>
          <w:rFonts w:hint="eastAsia" w:ascii="仿宋" w:hAnsi="仿宋" w:eastAsia="仿宋" w:cs="楷体_GB2312"/>
          <w:sz w:val="32"/>
          <w:szCs w:val="32"/>
        </w:rPr>
        <w:t>辆，实有其它车辆1</w:t>
      </w:r>
      <w:r>
        <w:rPr>
          <w:rFonts w:hint="eastAsia" w:ascii="仿宋" w:hAnsi="仿宋" w:eastAsia="仿宋" w:cs="楷体_GB2312"/>
          <w:sz w:val="32"/>
          <w:szCs w:val="32"/>
          <w:lang w:val="en-US" w:eastAsia="zh-CN"/>
        </w:rPr>
        <w:t>2</w:t>
      </w:r>
      <w:r>
        <w:rPr>
          <w:rFonts w:hint="eastAsia" w:ascii="仿宋" w:hAnsi="仿宋" w:eastAsia="仿宋" w:cs="楷体_GB2312"/>
          <w:sz w:val="32"/>
          <w:szCs w:val="32"/>
        </w:rPr>
        <w:t>辆。</w:t>
      </w:r>
    </w:p>
    <w:p>
      <w:pPr>
        <w:ind w:firstLine="636"/>
        <w:rPr>
          <w:rFonts w:ascii="仿宋" w:hAnsi="仿宋" w:eastAsia="仿宋" w:cs="楷体_GB2312"/>
          <w:sz w:val="32"/>
          <w:szCs w:val="32"/>
        </w:rPr>
      </w:pPr>
      <w:r>
        <w:rPr>
          <w:rFonts w:hint="eastAsia" w:ascii="仿宋" w:hAnsi="仿宋" w:eastAsia="仿宋" w:cs="楷体_GB2312"/>
          <w:sz w:val="32"/>
          <w:szCs w:val="32"/>
        </w:rPr>
        <w:t>2.房屋情况。</w:t>
      </w:r>
    </w:p>
    <w:p>
      <w:pPr>
        <w:ind w:firstLine="636"/>
        <w:rPr>
          <w:rFonts w:ascii="仿宋" w:hAnsi="仿宋" w:eastAsia="仿宋" w:cs="楷体_GB2312"/>
          <w:sz w:val="32"/>
          <w:szCs w:val="32"/>
        </w:rPr>
      </w:pPr>
      <w:r>
        <w:rPr>
          <w:rFonts w:hint="eastAsia" w:ascii="仿宋" w:hAnsi="仿宋" w:eastAsia="仿宋"/>
          <w:sz w:val="32"/>
          <w:szCs w:val="32"/>
        </w:rPr>
        <w:t>长治市直教育系统房屋面积为</w:t>
      </w:r>
      <w:r>
        <w:rPr>
          <w:rFonts w:hint="eastAsia" w:ascii="仿宋" w:hAnsi="仿宋" w:eastAsia="仿宋" w:cs="楷体_GB2312"/>
          <w:sz w:val="32"/>
          <w:szCs w:val="32"/>
        </w:rPr>
        <w:t>6</w:t>
      </w:r>
      <w:r>
        <w:rPr>
          <w:rFonts w:hint="eastAsia" w:ascii="仿宋" w:hAnsi="仿宋" w:eastAsia="仿宋" w:cs="楷体_GB2312"/>
          <w:sz w:val="32"/>
          <w:szCs w:val="32"/>
          <w:lang w:val="en-US" w:eastAsia="zh-CN"/>
        </w:rPr>
        <w:t>6.87</w:t>
      </w:r>
      <w:r>
        <w:rPr>
          <w:rFonts w:hint="eastAsia" w:ascii="仿宋" w:hAnsi="仿宋" w:eastAsia="仿宋" w:cs="楷体_GB2312"/>
          <w:sz w:val="32"/>
          <w:szCs w:val="32"/>
        </w:rPr>
        <w:t>万平方米，集中供热面积5</w:t>
      </w:r>
      <w:r>
        <w:rPr>
          <w:rFonts w:hint="eastAsia" w:ascii="仿宋" w:hAnsi="仿宋" w:eastAsia="仿宋" w:cs="楷体_GB2312"/>
          <w:sz w:val="32"/>
          <w:szCs w:val="32"/>
          <w:lang w:val="en-US" w:eastAsia="zh-CN"/>
        </w:rPr>
        <w:t>7.66</w:t>
      </w:r>
      <w:r>
        <w:rPr>
          <w:rFonts w:hint="eastAsia" w:ascii="仿宋" w:hAnsi="仿宋" w:eastAsia="仿宋" w:cs="楷体_GB2312"/>
          <w:sz w:val="32"/>
          <w:szCs w:val="32"/>
        </w:rPr>
        <w:t>万平方米。</w:t>
      </w:r>
    </w:p>
    <w:p>
      <w:pPr>
        <w:ind w:firstLine="636"/>
        <w:rPr>
          <w:rFonts w:ascii="仿宋" w:hAnsi="仿宋" w:eastAsia="仿宋" w:cs="楷体_GB2312"/>
          <w:sz w:val="32"/>
          <w:szCs w:val="32"/>
        </w:rPr>
      </w:pPr>
      <w:r>
        <w:rPr>
          <w:rFonts w:hint="eastAsia" w:ascii="仿宋" w:hAnsi="仿宋" w:eastAsia="仿宋" w:cs="楷体_GB2312"/>
          <w:sz w:val="32"/>
          <w:szCs w:val="32"/>
        </w:rPr>
        <w:t>3.其他国有资产占有使用情况。</w:t>
      </w:r>
    </w:p>
    <w:p>
      <w:pPr>
        <w:ind w:firstLine="636"/>
        <w:rPr>
          <w:rFonts w:ascii="仿宋" w:hAnsi="仿宋" w:eastAsia="仿宋" w:cs="楷体_GB2312"/>
          <w:sz w:val="32"/>
          <w:szCs w:val="32"/>
        </w:rPr>
      </w:pPr>
      <w:r>
        <w:rPr>
          <w:rFonts w:hint="eastAsia" w:ascii="仿宋" w:hAnsi="仿宋" w:eastAsia="仿宋" w:cs="楷体_GB2312"/>
          <w:sz w:val="32"/>
          <w:szCs w:val="32"/>
        </w:rPr>
        <w:t>除房屋和车辆以外的其他国有资产为学校的课桌凳、办公桌椅、教学仪器设备、办公设备、图书等，共计</w:t>
      </w:r>
      <w:r>
        <w:rPr>
          <w:rFonts w:hint="eastAsia" w:ascii="仿宋" w:hAnsi="仿宋" w:eastAsia="仿宋" w:cs="楷体_GB2312"/>
          <w:sz w:val="32"/>
          <w:szCs w:val="32"/>
          <w:lang w:val="en-US" w:eastAsia="zh-CN"/>
        </w:rPr>
        <w:t>30392.01</w:t>
      </w:r>
      <w:r>
        <w:rPr>
          <w:rFonts w:hint="eastAsia" w:ascii="仿宋" w:hAnsi="仿宋" w:eastAsia="仿宋" w:cs="楷体_GB2312"/>
          <w:sz w:val="32"/>
          <w:szCs w:val="32"/>
        </w:rPr>
        <w:t>万元。</w:t>
      </w:r>
    </w:p>
    <w:p>
      <w:pPr>
        <w:ind w:firstLine="636"/>
        <w:rPr>
          <w:rFonts w:ascii="仿宋" w:hAnsi="仿宋" w:eastAsia="仿宋" w:cs="楷体_GB2312"/>
          <w:sz w:val="32"/>
          <w:szCs w:val="32"/>
        </w:rPr>
      </w:pPr>
      <w:r>
        <w:rPr>
          <w:rFonts w:hint="eastAsia" w:ascii="仿宋" w:hAnsi="仿宋" w:eastAsia="仿宋" w:cs="楷体_GB2312"/>
          <w:sz w:val="32"/>
          <w:szCs w:val="32"/>
        </w:rPr>
        <w:t>（</w:t>
      </w:r>
      <w:r>
        <w:rPr>
          <w:rFonts w:hint="eastAsia" w:ascii="仿宋" w:hAnsi="仿宋" w:eastAsia="仿宋" w:cs="楷体_GB2312"/>
          <w:sz w:val="32"/>
          <w:szCs w:val="32"/>
          <w:lang w:eastAsia="zh-CN"/>
        </w:rPr>
        <w:t>四</w:t>
      </w:r>
      <w:r>
        <w:rPr>
          <w:rFonts w:hint="eastAsia" w:ascii="仿宋" w:hAnsi="仿宋" w:eastAsia="仿宋" w:cs="楷体_GB2312"/>
          <w:sz w:val="32"/>
          <w:szCs w:val="32"/>
        </w:rPr>
        <w:t>）绩效管理情况</w:t>
      </w:r>
    </w:p>
    <w:p>
      <w:pPr>
        <w:ind w:firstLine="636"/>
        <w:rPr>
          <w:rFonts w:ascii="仿宋" w:hAnsi="仿宋" w:eastAsia="仿宋" w:cs="楷体_GB2312"/>
          <w:sz w:val="32"/>
          <w:szCs w:val="32"/>
        </w:rPr>
      </w:pPr>
      <w:r>
        <w:rPr>
          <w:rFonts w:hint="eastAsia" w:ascii="仿宋" w:hAnsi="仿宋" w:eastAsia="仿宋"/>
          <w:sz w:val="32"/>
          <w:szCs w:val="32"/>
        </w:rPr>
        <w:t>市直教育系统</w:t>
      </w:r>
      <w:r>
        <w:rPr>
          <w:rFonts w:hint="eastAsia" w:ascii="仿宋" w:hAnsi="仿宋" w:eastAsia="仿宋"/>
          <w:sz w:val="32"/>
          <w:szCs w:val="32"/>
          <w:lang w:eastAsia="zh-CN"/>
        </w:rPr>
        <w:t>2018</w:t>
      </w:r>
      <w:r>
        <w:rPr>
          <w:rFonts w:hint="eastAsia" w:ascii="仿宋" w:hAnsi="仿宋" w:eastAsia="仿宋"/>
          <w:sz w:val="32"/>
          <w:szCs w:val="32"/>
        </w:rPr>
        <w:t>年</w:t>
      </w:r>
      <w:r>
        <w:rPr>
          <w:rFonts w:hint="eastAsia" w:ascii="仿宋" w:hAnsi="仿宋" w:eastAsia="仿宋" w:cs="楷体_GB2312"/>
          <w:sz w:val="32"/>
          <w:szCs w:val="32"/>
        </w:rPr>
        <w:t>实行绩效目标管理的项目</w:t>
      </w:r>
      <w:r>
        <w:rPr>
          <w:rFonts w:hint="eastAsia" w:ascii="仿宋" w:hAnsi="仿宋" w:eastAsia="仿宋" w:cs="楷体_GB2312"/>
          <w:sz w:val="32"/>
          <w:szCs w:val="32"/>
          <w:lang w:val="en-US" w:eastAsia="zh-CN"/>
        </w:rPr>
        <w:t>206</w:t>
      </w:r>
      <w:r>
        <w:rPr>
          <w:rFonts w:hint="eastAsia" w:ascii="仿宋" w:hAnsi="仿宋" w:eastAsia="仿宋" w:cs="楷体_GB2312"/>
          <w:sz w:val="32"/>
          <w:szCs w:val="32"/>
        </w:rPr>
        <w:t>个，涉及一般公共预算当年拨款</w:t>
      </w:r>
      <w:r>
        <w:rPr>
          <w:rFonts w:hint="eastAsia" w:ascii="仿宋" w:hAnsi="仿宋" w:eastAsia="仿宋" w:cs="楷体_GB2312"/>
          <w:sz w:val="32"/>
          <w:szCs w:val="32"/>
          <w:lang w:val="en-US" w:eastAsia="zh-CN"/>
        </w:rPr>
        <w:t>8327.35</w:t>
      </w:r>
      <w:r>
        <w:rPr>
          <w:rFonts w:hint="eastAsia" w:ascii="仿宋" w:hAnsi="仿宋" w:eastAsia="仿宋" w:cs="楷体_GB2312"/>
          <w:sz w:val="32"/>
          <w:szCs w:val="32"/>
        </w:rPr>
        <w:t>万元。</w:t>
      </w:r>
    </w:p>
    <w:p>
      <w:pPr>
        <w:ind w:left="636"/>
        <w:rPr>
          <w:rFonts w:ascii="楷体_GB2312" w:hAnsi="楷体_GB2312" w:eastAsia="楷体_GB2312" w:cs="楷体_GB2312"/>
          <w:sz w:val="32"/>
          <w:szCs w:val="32"/>
        </w:rPr>
      </w:pPr>
      <w:r>
        <w:rPr>
          <w:rFonts w:hint="eastAsia" w:ascii="仿宋" w:hAnsi="仿宋" w:eastAsia="仿宋" w:cs="楷体_GB2312"/>
          <w:sz w:val="32"/>
          <w:szCs w:val="32"/>
        </w:rPr>
        <w:t>（</w:t>
      </w:r>
      <w:r>
        <w:rPr>
          <w:rFonts w:hint="eastAsia" w:ascii="仿宋" w:hAnsi="仿宋" w:eastAsia="仿宋" w:cs="楷体_GB2312"/>
          <w:sz w:val="32"/>
          <w:szCs w:val="32"/>
          <w:lang w:eastAsia="zh-CN"/>
        </w:rPr>
        <w:t>五</w:t>
      </w:r>
      <w:r>
        <w:rPr>
          <w:rFonts w:hint="eastAsia" w:ascii="仿宋" w:hAnsi="仿宋" w:eastAsia="仿宋" w:cs="楷体_GB2312"/>
          <w:sz w:val="32"/>
          <w:szCs w:val="32"/>
        </w:rPr>
        <w:t>）非税收入和基金执收情况</w:t>
      </w:r>
    </w:p>
    <w:tbl>
      <w:tblPr>
        <w:tblStyle w:val="7"/>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16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b/>
                <w:sz w:val="18"/>
                <w:szCs w:val="18"/>
              </w:rPr>
            </w:pPr>
            <w:r>
              <w:rPr>
                <w:rFonts w:hint="eastAsia" w:ascii="宋体" w:hAnsi="宋体"/>
                <w:b/>
                <w:sz w:val="18"/>
                <w:szCs w:val="18"/>
              </w:rPr>
              <w:t>收费项目名称</w:t>
            </w:r>
          </w:p>
        </w:tc>
        <w:tc>
          <w:tcPr>
            <w:tcW w:w="2160" w:type="dxa"/>
            <w:vAlign w:val="center"/>
          </w:tcPr>
          <w:p>
            <w:pPr>
              <w:spacing w:line="600" w:lineRule="exact"/>
              <w:jc w:val="center"/>
              <w:rPr>
                <w:rFonts w:ascii="宋体" w:hAnsi="宋体"/>
                <w:b/>
                <w:sz w:val="18"/>
                <w:szCs w:val="18"/>
              </w:rPr>
            </w:pPr>
            <w:r>
              <w:rPr>
                <w:rFonts w:hint="eastAsia" w:ascii="宋体" w:hAnsi="宋体"/>
                <w:b/>
                <w:sz w:val="18"/>
                <w:szCs w:val="18"/>
              </w:rPr>
              <w:t>收费项目依据</w:t>
            </w:r>
          </w:p>
        </w:tc>
        <w:tc>
          <w:tcPr>
            <w:tcW w:w="5760" w:type="dxa"/>
            <w:vAlign w:val="center"/>
          </w:tcPr>
          <w:p>
            <w:pPr>
              <w:spacing w:line="600" w:lineRule="exact"/>
              <w:jc w:val="center"/>
              <w:rPr>
                <w:rFonts w:ascii="宋体" w:hAnsi="宋体"/>
                <w:b/>
                <w:sz w:val="18"/>
                <w:szCs w:val="18"/>
              </w:rPr>
            </w:pPr>
            <w:r>
              <w:rPr>
                <w:rFonts w:hint="eastAsia" w:ascii="宋体" w:hAnsi="宋体"/>
                <w:b/>
                <w:sz w:val="18"/>
                <w:szCs w:val="18"/>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中考报名费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晋价费字[2014]132号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80元/生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高考报名费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晋价费字[2012]167号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105元/生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高中学业水平考试费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晋价费字[2013]110号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七科12元/生、科，信息技术14元/生，理化生实验5元/生，语数外3元/生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研究生考试报名费</w:t>
            </w:r>
          </w:p>
        </w:tc>
        <w:tc>
          <w:tcPr>
            <w:tcW w:w="2160" w:type="dxa"/>
            <w:vAlign w:val="center"/>
          </w:tcPr>
          <w:p>
            <w:pPr>
              <w:spacing w:line="600" w:lineRule="exact"/>
              <w:jc w:val="center"/>
              <w:rPr>
                <w:rFonts w:ascii="宋体" w:hAnsi="宋体"/>
                <w:sz w:val="18"/>
                <w:szCs w:val="18"/>
              </w:rPr>
            </w:pPr>
          </w:p>
        </w:tc>
        <w:tc>
          <w:tcPr>
            <w:tcW w:w="5760" w:type="dxa"/>
            <w:vAlign w:val="center"/>
          </w:tcPr>
          <w:p>
            <w:pPr>
              <w:spacing w:line="6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教师资格考试报名费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晋价费字[2015]241号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笔试65元/生、科，计算机70元/生、科，面试280元/生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成人招生报名考务费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晋价费字[2003]38号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28元/生、科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自学考试报名费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晋价费字[2003]38号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25元/生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对口升学考试报名费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晋价费字[2003]372号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90元/生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教师职称评审费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晋价费字[2005]44号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中小学：初级100元/人，中级300元/人，高级400元/人；中专：初级100元/人，中级300元/人，高级350元/人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高中住宿费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晋价行字[2005]374号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100至200元/生、学期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高中学费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晋价费字[2005]44号、晋教计财[1999]7号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600元至800元/生、学期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幼儿园保教保育费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长价费字[2013]155号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350元/生、月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1908" w:type="dxa"/>
            <w:vAlign w:val="center"/>
          </w:tcPr>
          <w:p>
            <w:pPr>
              <w:spacing w:line="600" w:lineRule="exact"/>
              <w:jc w:val="center"/>
              <w:rPr>
                <w:rFonts w:ascii="宋体" w:hAnsi="宋体"/>
                <w:sz w:val="18"/>
                <w:szCs w:val="18"/>
              </w:rPr>
            </w:pPr>
            <w:r>
              <w:rPr>
                <w:rFonts w:hint="eastAsia" w:ascii="宋体" w:hAnsi="宋体"/>
                <w:sz w:val="18"/>
                <w:szCs w:val="18"/>
              </w:rPr>
              <w:t>中专住宿费</w:t>
            </w:r>
          </w:p>
        </w:tc>
        <w:tc>
          <w:tcPr>
            <w:tcW w:w="2160" w:type="dxa"/>
            <w:vAlign w:val="center"/>
          </w:tcPr>
          <w:p>
            <w:pPr>
              <w:spacing w:line="600" w:lineRule="exact"/>
              <w:jc w:val="center"/>
              <w:rPr>
                <w:rFonts w:ascii="宋体" w:hAnsi="宋体"/>
                <w:sz w:val="18"/>
                <w:szCs w:val="18"/>
              </w:rPr>
            </w:pPr>
            <w:r>
              <w:rPr>
                <w:rFonts w:hint="eastAsia" w:ascii="宋体" w:hAnsi="宋体"/>
                <w:sz w:val="18"/>
                <w:szCs w:val="18"/>
              </w:rPr>
              <w:t>晋教计财[2000]30号、晋价费字[2002]250号</w:t>
            </w:r>
          </w:p>
        </w:tc>
        <w:tc>
          <w:tcPr>
            <w:tcW w:w="5760" w:type="dxa"/>
            <w:vAlign w:val="center"/>
          </w:tcPr>
          <w:p>
            <w:pPr>
              <w:spacing w:line="600" w:lineRule="exact"/>
              <w:jc w:val="center"/>
              <w:rPr>
                <w:rFonts w:ascii="宋体" w:hAnsi="宋体"/>
                <w:sz w:val="18"/>
                <w:szCs w:val="18"/>
              </w:rPr>
            </w:pPr>
            <w:r>
              <w:rPr>
                <w:rFonts w:hint="eastAsia" w:ascii="宋体" w:hAnsi="宋体"/>
                <w:sz w:val="18"/>
                <w:szCs w:val="18"/>
              </w:rPr>
              <w:t>400至600元/生、年</w:t>
            </w:r>
          </w:p>
        </w:tc>
      </w:tr>
    </w:tbl>
    <w:p>
      <w:pPr>
        <w:jc w:val="center"/>
        <w:rPr>
          <w:rFonts w:ascii="黑体" w:hAnsi="黑体" w:eastAsia="黑体"/>
          <w:sz w:val="32"/>
          <w:szCs w:val="32"/>
        </w:rPr>
      </w:pPr>
      <w:r>
        <w:rPr>
          <w:rFonts w:hint="eastAsia" w:ascii="黑体" w:hAnsi="黑体" w:eastAsia="黑体"/>
          <w:sz w:val="32"/>
          <w:szCs w:val="32"/>
        </w:rPr>
        <w:t>第三部分  名词解释</w:t>
      </w:r>
    </w:p>
    <w:p>
      <w:pPr>
        <w:autoSpaceDE w:val="0"/>
        <w:autoSpaceDN w:val="0"/>
        <w:adjustRightInd w:val="0"/>
        <w:ind w:firstLine="640" w:firstLineChars="200"/>
        <w:rPr>
          <w:rFonts w:ascii="仿宋" w:hAnsi="仿宋" w:eastAsia="仿宋" w:cs="楷体_GB2312"/>
          <w:sz w:val="32"/>
          <w:szCs w:val="32"/>
        </w:rPr>
      </w:pPr>
      <w:r>
        <w:rPr>
          <w:rFonts w:hint="eastAsia" w:ascii="仿宋" w:hAnsi="仿宋" w:eastAsia="仿宋" w:cs="楷体_GB2312"/>
          <w:sz w:val="32"/>
          <w:szCs w:val="32"/>
        </w:rPr>
        <w:t>（一）基本支出：指为保障机构正常运转、完成日常</w:t>
      </w:r>
    </w:p>
    <w:p>
      <w:pPr>
        <w:autoSpaceDE w:val="0"/>
        <w:autoSpaceDN w:val="0"/>
        <w:adjustRightInd w:val="0"/>
        <w:rPr>
          <w:rFonts w:ascii="仿宋" w:hAnsi="仿宋" w:eastAsia="仿宋" w:cs="楷体_GB2312"/>
          <w:sz w:val="32"/>
          <w:szCs w:val="32"/>
        </w:rPr>
      </w:pPr>
      <w:r>
        <w:rPr>
          <w:rFonts w:hint="eastAsia" w:ascii="仿宋" w:hAnsi="仿宋" w:eastAsia="仿宋" w:cs="楷体_GB2312"/>
          <w:sz w:val="32"/>
          <w:szCs w:val="32"/>
        </w:rPr>
        <w:t>工作任务而发生的人员支出和公用支出。</w:t>
      </w:r>
    </w:p>
    <w:p>
      <w:pPr>
        <w:autoSpaceDE w:val="0"/>
        <w:autoSpaceDN w:val="0"/>
        <w:adjustRightInd w:val="0"/>
        <w:ind w:firstLine="640" w:firstLineChars="200"/>
        <w:rPr>
          <w:rFonts w:ascii="仿宋" w:hAnsi="仿宋" w:eastAsia="仿宋" w:cs="楷体_GB2312"/>
          <w:sz w:val="32"/>
          <w:szCs w:val="32"/>
        </w:rPr>
      </w:pPr>
      <w:r>
        <w:rPr>
          <w:rFonts w:hint="eastAsia" w:ascii="仿宋" w:hAnsi="仿宋" w:eastAsia="仿宋" w:cs="楷体_GB2312"/>
          <w:sz w:val="32"/>
          <w:szCs w:val="32"/>
        </w:rPr>
        <w:t>（二）项目支出：指在基本支出之外为完成特定行政任</w:t>
      </w:r>
    </w:p>
    <w:p>
      <w:pPr>
        <w:rPr>
          <w:rFonts w:ascii="仿宋" w:hAnsi="仿宋" w:eastAsia="仿宋" w:cs="楷体_GB2312"/>
          <w:sz w:val="32"/>
          <w:szCs w:val="32"/>
        </w:rPr>
      </w:pPr>
      <w:r>
        <w:rPr>
          <w:rFonts w:hint="eastAsia" w:ascii="仿宋" w:hAnsi="仿宋" w:eastAsia="仿宋" w:cs="楷体_GB2312"/>
          <w:sz w:val="32"/>
          <w:szCs w:val="32"/>
        </w:rPr>
        <w:t>务和事业发展目标所发生的支出。</w:t>
      </w:r>
    </w:p>
    <w:p>
      <w:pPr>
        <w:autoSpaceDE w:val="0"/>
        <w:autoSpaceDN w:val="0"/>
        <w:adjustRightInd w:val="0"/>
        <w:ind w:firstLine="640" w:firstLineChars="200"/>
        <w:rPr>
          <w:rFonts w:ascii="仿宋" w:hAnsi="仿宋" w:eastAsia="仿宋" w:cs="楷体_GB2312"/>
          <w:sz w:val="32"/>
          <w:szCs w:val="32"/>
        </w:rPr>
      </w:pPr>
      <w:r>
        <w:rPr>
          <w:rFonts w:hint="eastAsia" w:ascii="仿宋" w:hAnsi="仿宋" w:eastAsia="仿宋" w:cs="楷体_GB2312"/>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仿宋" w:hAnsi="仿宋" w:eastAsia="仿宋" w:cs="楷体_GB2312"/>
          <w:sz w:val="32"/>
          <w:szCs w:val="32"/>
        </w:rPr>
      </w:pPr>
      <w:r>
        <w:rPr>
          <w:rFonts w:hint="eastAsia" w:ascii="仿宋" w:hAnsi="仿宋" w:eastAsia="仿宋" w:cs="楷体_GB2312"/>
          <w:sz w:val="32"/>
          <w:szCs w:val="32"/>
        </w:rPr>
        <w:t>（四）机关运行经费：指行政单位和参照公务员法管理的事业单位使用一般公共预算安排的基本支出中的日常公用经费支出。</w:t>
      </w: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0361"/>
    <w:rsid w:val="00090715"/>
    <w:rsid w:val="000D4488"/>
    <w:rsid w:val="00144F12"/>
    <w:rsid w:val="00265DD4"/>
    <w:rsid w:val="003265D6"/>
    <w:rsid w:val="00332350"/>
    <w:rsid w:val="003A7E6F"/>
    <w:rsid w:val="00530361"/>
    <w:rsid w:val="005504F1"/>
    <w:rsid w:val="00552BFB"/>
    <w:rsid w:val="00575A54"/>
    <w:rsid w:val="005E4A33"/>
    <w:rsid w:val="00682D20"/>
    <w:rsid w:val="0069691F"/>
    <w:rsid w:val="006C112A"/>
    <w:rsid w:val="007D2BAE"/>
    <w:rsid w:val="007D5AC4"/>
    <w:rsid w:val="007E3878"/>
    <w:rsid w:val="008E24FF"/>
    <w:rsid w:val="00936CEB"/>
    <w:rsid w:val="009C570F"/>
    <w:rsid w:val="00A665B7"/>
    <w:rsid w:val="00A76357"/>
    <w:rsid w:val="00B5642F"/>
    <w:rsid w:val="00B9358E"/>
    <w:rsid w:val="00C874E2"/>
    <w:rsid w:val="00CB5BF7"/>
    <w:rsid w:val="00CE64B1"/>
    <w:rsid w:val="00D278F0"/>
    <w:rsid w:val="00DE4E90"/>
    <w:rsid w:val="00E24128"/>
    <w:rsid w:val="00E43FC2"/>
    <w:rsid w:val="00F735CF"/>
    <w:rsid w:val="02165902"/>
    <w:rsid w:val="05510D46"/>
    <w:rsid w:val="0985628C"/>
    <w:rsid w:val="0B5A1DB5"/>
    <w:rsid w:val="11DB5E71"/>
    <w:rsid w:val="1A4B3503"/>
    <w:rsid w:val="1C0C3B07"/>
    <w:rsid w:val="1E606C97"/>
    <w:rsid w:val="1F75674E"/>
    <w:rsid w:val="1FC20651"/>
    <w:rsid w:val="22B83E1F"/>
    <w:rsid w:val="24B45B9D"/>
    <w:rsid w:val="30782051"/>
    <w:rsid w:val="35BC1C21"/>
    <w:rsid w:val="37334D73"/>
    <w:rsid w:val="432B2DB9"/>
    <w:rsid w:val="47880A51"/>
    <w:rsid w:val="4A3B0F21"/>
    <w:rsid w:val="4C2A373B"/>
    <w:rsid w:val="4D27293B"/>
    <w:rsid w:val="4F7D7F40"/>
    <w:rsid w:val="501E791D"/>
    <w:rsid w:val="508F58F6"/>
    <w:rsid w:val="516E1A8F"/>
    <w:rsid w:val="53A371B6"/>
    <w:rsid w:val="5C8205E7"/>
    <w:rsid w:val="61196E57"/>
    <w:rsid w:val="6157253F"/>
    <w:rsid w:val="63637CAA"/>
    <w:rsid w:val="63E77FE1"/>
    <w:rsid w:val="68CB0C77"/>
    <w:rsid w:val="6A864F18"/>
    <w:rsid w:val="6C6A7DC4"/>
    <w:rsid w:val="71765F13"/>
    <w:rsid w:val="7BB5369F"/>
    <w:rsid w:val="7CFD17B0"/>
    <w:rsid w:val="7F553E3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character" w:customStyle="1" w:styleId="10">
    <w:name w:val="font01"/>
    <w:basedOn w:val="4"/>
    <w:uiPriority w:val="0"/>
    <w:rPr>
      <w:rFonts w:hint="eastAsia" w:ascii="宋体" w:hAnsi="宋体" w:eastAsia="宋体" w:cs="宋体"/>
      <w:color w:val="auto"/>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388</Words>
  <Characters>2215</Characters>
  <Lines>18</Lines>
  <Paragraphs>5</Paragraphs>
  <ScaleCrop>false</ScaleCrop>
  <LinksUpToDate>false</LinksUpToDate>
  <CharactersWithSpaces>2598</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Lenovo</cp:lastModifiedBy>
  <cp:lastPrinted>2018-04-25T03:32:00Z</cp:lastPrinted>
  <dcterms:modified xsi:type="dcterms:W3CDTF">2018-12-29T03:27:13Z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