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val="0"/>
        <w:spacing w:line="560" w:lineRule="exact"/>
        <w:ind w:right="0" w:rightChars="0"/>
        <w:jc w:val="center"/>
        <w:textAlignment w:val="auto"/>
        <w:outlineLvl w:val="9"/>
        <w:rPr>
          <w:rFonts w:hint="eastAsia" w:ascii="宋体" w:hAnsi="宋体"/>
          <w:b/>
          <w:sz w:val="44"/>
          <w:szCs w:val="44"/>
        </w:rPr>
      </w:pPr>
      <w:bookmarkStart w:id="0" w:name="一、部门决算填报说明（部门用）"/>
      <w:r>
        <w:rPr>
          <w:rFonts w:hint="eastAsia" w:ascii="宋体" w:hAnsi="宋体"/>
          <w:b/>
          <w:sz w:val="44"/>
          <w:szCs w:val="44"/>
        </w:rPr>
        <w:t>长治市委政法委</w:t>
      </w:r>
    </w:p>
    <w:p>
      <w:pPr>
        <w:keepNext w:val="0"/>
        <w:keepLines w:val="0"/>
        <w:pageBreakBefore w:val="0"/>
        <w:kinsoku/>
        <w:wordWrap/>
        <w:overflowPunct/>
        <w:topLinePunct w:val="0"/>
        <w:autoSpaceDE/>
        <w:autoSpaceDN/>
        <w:bidi w:val="0"/>
        <w:adjustRightInd/>
        <w:snapToGrid w:val="0"/>
        <w:spacing w:line="560" w:lineRule="exact"/>
        <w:ind w:right="0" w:rightChars="0"/>
        <w:textAlignment w:val="auto"/>
        <w:outlineLvl w:val="9"/>
        <w:rPr>
          <w:rFonts w:hint="eastAsia" w:ascii="宋体" w:hAnsi="宋体"/>
          <w:b/>
          <w:sz w:val="44"/>
          <w:szCs w:val="44"/>
        </w:rPr>
      </w:pPr>
      <w:r>
        <w:rPr>
          <w:rFonts w:hint="eastAsia" w:ascii="宋体" w:hAnsi="宋体"/>
          <w:b/>
          <w:sz w:val="44"/>
          <w:szCs w:val="44"/>
        </w:rPr>
        <w:t xml:space="preserve">      201</w:t>
      </w:r>
      <w:r>
        <w:rPr>
          <w:rFonts w:hint="eastAsia" w:ascii="宋体" w:hAnsi="宋体"/>
          <w:b/>
          <w:sz w:val="44"/>
          <w:szCs w:val="44"/>
          <w:lang w:val="en-US" w:eastAsia="zh-CN"/>
        </w:rPr>
        <w:t>9</w:t>
      </w:r>
      <w:r>
        <w:rPr>
          <w:rFonts w:hint="eastAsia" w:ascii="宋体" w:hAnsi="宋体"/>
          <w:b/>
          <w:sz w:val="44"/>
          <w:szCs w:val="44"/>
        </w:rPr>
        <w:t>年</w:t>
      </w:r>
      <w:r>
        <w:rPr>
          <w:rFonts w:hint="eastAsia" w:ascii="宋体" w:hAnsi="宋体"/>
          <w:b/>
          <w:sz w:val="44"/>
          <w:szCs w:val="44"/>
          <w:lang w:eastAsia="zh-CN"/>
        </w:rPr>
        <w:t>预算公开相关</w:t>
      </w:r>
      <w:r>
        <w:rPr>
          <w:rFonts w:hint="eastAsia" w:ascii="宋体" w:hAnsi="宋体"/>
          <w:b/>
          <w:sz w:val="44"/>
          <w:szCs w:val="44"/>
        </w:rPr>
        <w:t>情说明</w:t>
      </w:r>
    </w:p>
    <w:bookmarkEnd w:id="0"/>
    <w:p>
      <w:pPr>
        <w:keepNext w:val="0"/>
        <w:keepLines w:val="0"/>
        <w:pageBreakBefore w:val="0"/>
        <w:kinsoku/>
        <w:wordWrap/>
        <w:overflowPunct/>
        <w:topLinePunct w:val="0"/>
        <w:autoSpaceDE/>
        <w:autoSpaceDN/>
        <w:bidi w:val="0"/>
        <w:adjustRightInd/>
        <w:snapToGrid w:val="0"/>
        <w:spacing w:line="560" w:lineRule="exact"/>
        <w:ind w:right="0" w:rightChars="0"/>
        <w:textAlignment w:val="auto"/>
        <w:outlineLvl w:val="9"/>
        <w:rPr>
          <w:rFonts w:hint="eastAsia" w:ascii="仿宋_GB2312" w:hAnsi="仿宋" w:eastAsia="仿宋_GB2312"/>
          <w:b/>
          <w:sz w:val="32"/>
          <w:szCs w:val="32"/>
        </w:rPr>
      </w:pPr>
    </w:p>
    <w:p>
      <w:pPr>
        <w:keepNext w:val="0"/>
        <w:keepLines w:val="0"/>
        <w:pageBreakBefore w:val="0"/>
        <w:kinsoku/>
        <w:wordWrap/>
        <w:overflowPunct/>
        <w:topLinePunct w:val="0"/>
        <w:autoSpaceDE/>
        <w:autoSpaceDN/>
        <w:bidi w:val="0"/>
        <w:adjustRightInd/>
        <w:snapToGrid w:val="0"/>
        <w:spacing w:line="560" w:lineRule="exact"/>
        <w:ind w:right="0" w:rightChars="0"/>
        <w:textAlignment w:val="auto"/>
        <w:outlineLvl w:val="9"/>
        <w:rPr>
          <w:rFonts w:hint="eastAsia" w:ascii="黑体" w:hAnsi="黑体" w:eastAsia="黑体" w:cs="黑体"/>
          <w:b/>
          <w:sz w:val="32"/>
          <w:szCs w:val="32"/>
          <w:lang w:val="en-US" w:eastAsia="zh-CN"/>
        </w:rPr>
      </w:pPr>
      <w:r>
        <w:rPr>
          <w:rFonts w:hint="eastAsia" w:ascii="黑体" w:hAnsi="黑体" w:eastAsia="黑体" w:cs="黑体"/>
          <w:b/>
          <w:sz w:val="32"/>
          <w:szCs w:val="32"/>
          <w:lang w:eastAsia="zh-CN"/>
        </w:rPr>
        <w:t>第一部分</w:t>
      </w:r>
      <w:r>
        <w:rPr>
          <w:rFonts w:hint="eastAsia" w:ascii="黑体" w:hAnsi="黑体" w:eastAsia="黑体" w:cs="黑体"/>
          <w:b/>
          <w:sz w:val="32"/>
          <w:szCs w:val="32"/>
          <w:lang w:val="en-US" w:eastAsia="zh-CN"/>
        </w:rPr>
        <w:t xml:space="preserve">  概况</w:t>
      </w:r>
    </w:p>
    <w:p>
      <w:pPr>
        <w:keepNext w:val="0"/>
        <w:keepLines w:val="0"/>
        <w:pageBreakBefore w:val="0"/>
        <w:kinsoku/>
        <w:wordWrap/>
        <w:overflowPunct/>
        <w:topLinePunct w:val="0"/>
        <w:autoSpaceDE/>
        <w:autoSpaceDN/>
        <w:bidi w:val="0"/>
        <w:adjustRightInd/>
        <w:snapToGrid w:val="0"/>
        <w:spacing w:line="560" w:lineRule="exact"/>
        <w:ind w:right="0" w:rightChars="0"/>
        <w:textAlignment w:val="auto"/>
        <w:outlineLvl w:val="9"/>
        <w:rPr>
          <w:rFonts w:hint="eastAsia" w:ascii="仿宋_GB2312" w:hAnsi="仿宋" w:eastAsia="仿宋_GB2312"/>
          <w:b w:val="0"/>
          <w:bCs/>
          <w:sz w:val="32"/>
          <w:szCs w:val="32"/>
          <w:lang w:val="en-US" w:eastAsia="zh-CN"/>
        </w:rPr>
      </w:pPr>
      <w:r>
        <w:rPr>
          <w:rFonts w:hint="eastAsia" w:ascii="仿宋_GB2312" w:hAnsi="仿宋" w:eastAsia="仿宋_GB2312"/>
          <w:b/>
          <w:sz w:val="32"/>
          <w:szCs w:val="32"/>
          <w:lang w:val="en-US" w:eastAsia="zh-CN"/>
        </w:rPr>
        <w:t xml:space="preserve">    </w:t>
      </w:r>
      <w:r>
        <w:rPr>
          <w:rFonts w:hint="eastAsia" w:ascii="仿宋_GB2312" w:hAnsi="仿宋" w:eastAsia="仿宋_GB2312"/>
          <w:b w:val="0"/>
          <w:bCs/>
          <w:sz w:val="32"/>
          <w:szCs w:val="32"/>
          <w:lang w:val="en-US" w:eastAsia="zh-CN"/>
        </w:rPr>
        <w:t>一、本部门职责</w:t>
      </w:r>
    </w:p>
    <w:p>
      <w:pPr>
        <w:keepNext w:val="0"/>
        <w:keepLines w:val="0"/>
        <w:pageBreakBefore w:val="0"/>
        <w:kinsoku/>
        <w:wordWrap/>
        <w:overflowPunct/>
        <w:topLinePunct w:val="0"/>
        <w:autoSpaceDE/>
        <w:autoSpaceDN/>
        <w:bidi w:val="0"/>
        <w:adjustRightInd/>
        <w:spacing w:line="560" w:lineRule="exact"/>
        <w:ind w:left="206" w:right="0" w:rightChars="0" w:firstLine="420"/>
        <w:textAlignment w:val="auto"/>
        <w:outlineLvl w:val="9"/>
        <w:rPr>
          <w:rFonts w:hint="eastAsia" w:ascii="仿宋" w:hAnsi="仿宋" w:eastAsia="仿宋" w:cs="仿宋"/>
          <w:b w:val="0"/>
          <w:bCs/>
          <w:sz w:val="32"/>
          <w:szCs w:val="32"/>
        </w:rPr>
      </w:pPr>
      <w:bookmarkStart w:id="1" w:name="部门决算分析报告撰写提纲"/>
      <w:r>
        <w:rPr>
          <w:rFonts w:hint="eastAsia" w:ascii="仿宋_GB2312" w:eastAsia="仿宋_GB2312"/>
          <w:b w:val="0"/>
          <w:bCs/>
          <w:sz w:val="32"/>
        </w:rPr>
        <w:t xml:space="preserve"> </w:t>
      </w:r>
      <w:r>
        <w:rPr>
          <w:rFonts w:hint="eastAsia" w:ascii="仿宋" w:hAnsi="仿宋" w:eastAsia="仿宋" w:cs="仿宋"/>
          <w:b w:val="0"/>
          <w:bCs/>
          <w:sz w:val="32"/>
          <w:szCs w:val="32"/>
        </w:rPr>
        <w:t>工作职能和主要职责是：</w:t>
      </w:r>
    </w:p>
    <w:p>
      <w:pPr>
        <w:spacing w:line="560" w:lineRule="exact"/>
        <w:ind w:firstLine="640" w:firstLineChars="200"/>
        <w:rPr>
          <w:rFonts w:ascii="仿宋_GB2312" w:eastAsia="仿宋_GB2312"/>
          <w:sz w:val="32"/>
          <w:szCs w:val="32"/>
        </w:rPr>
      </w:pPr>
      <w:r>
        <w:rPr>
          <w:rFonts w:hint="eastAsia" w:ascii="仿宋_GB2312" w:eastAsia="仿宋_GB2312" w:cs="仿宋_GB2312"/>
          <w:sz w:val="32"/>
          <w:szCs w:val="32"/>
        </w:rPr>
        <w:t>（一）深入贯彻习近平新时代中国特色社会主义思想，深入贯彻党的路线方针政策和省委政法委及市委的决策部署，统一政法各部门思想和行动，坚持党对政法工作的绝对领导，坚决维护党中央权威和集中统一领导。</w:t>
      </w:r>
    </w:p>
    <w:p>
      <w:pPr>
        <w:spacing w:line="560" w:lineRule="exact"/>
        <w:ind w:firstLine="640" w:firstLineChars="200"/>
        <w:rPr>
          <w:rFonts w:ascii="仿宋_GB2312" w:eastAsia="仿宋_GB2312"/>
          <w:sz w:val="32"/>
          <w:szCs w:val="32"/>
        </w:rPr>
      </w:pPr>
      <w:r>
        <w:rPr>
          <w:rFonts w:hint="eastAsia" w:ascii="仿宋_GB2312" w:eastAsia="仿宋_GB2312" w:cs="仿宋_GB2312"/>
          <w:sz w:val="32"/>
          <w:szCs w:val="32"/>
        </w:rPr>
        <w:t>（二）深入贯彻中央、省委要求和市委决定，对全市政法工作研究提出全局性部署，推进平安长治、法治长治建设，加强过硬队伍建设，深化智能化建设，坚决维护国家政治安全、确保社会大局稳定、促进社会公平正义、保障人民安居乐业、服务经济社会发展。</w:t>
      </w:r>
    </w:p>
    <w:p>
      <w:pPr>
        <w:pStyle w:val="4"/>
        <w:spacing w:line="560" w:lineRule="exact"/>
        <w:ind w:firstLine="640" w:firstLineChars="200"/>
        <w:jc w:val="both"/>
        <w:rPr>
          <w:rFonts w:ascii="仿宋_GB2312" w:eastAsia="仿宋_GB2312" w:cs="Times New Roman"/>
          <w:color w:val="000000"/>
          <w:sz w:val="32"/>
          <w:szCs w:val="32"/>
        </w:rPr>
      </w:pPr>
      <w:r>
        <w:rPr>
          <w:rFonts w:hint="eastAsia" w:ascii="仿宋_GB2312" w:eastAsia="仿宋_GB2312" w:cs="仿宋_GB2312"/>
          <w:color w:val="000000"/>
          <w:sz w:val="32"/>
          <w:szCs w:val="32"/>
        </w:rPr>
        <w:t>（三）了解掌握和分析研判全市政法工作情况动态，分析社会稳定形势，创新完善多部门参与的综治维稳工作机制，协调推动预防、化解影响稳定的社会矛盾和风险</w:t>
      </w:r>
      <w:r>
        <w:rPr>
          <w:rFonts w:ascii="仿宋_GB2312" w:eastAsia="仿宋_GB2312" w:cs="仿宋_GB2312"/>
          <w:color w:val="000000"/>
          <w:sz w:val="32"/>
          <w:szCs w:val="32"/>
        </w:rPr>
        <w:t>,</w:t>
      </w:r>
      <w:r>
        <w:rPr>
          <w:rFonts w:hint="eastAsia" w:ascii="仿宋_GB2312" w:eastAsia="仿宋_GB2312" w:cs="仿宋_GB2312"/>
          <w:color w:val="000000"/>
          <w:sz w:val="32"/>
          <w:szCs w:val="32"/>
        </w:rPr>
        <w:t>协调应对和处置重大突发事件。</w:t>
      </w:r>
    </w:p>
    <w:p>
      <w:pPr>
        <w:pStyle w:val="4"/>
        <w:spacing w:line="560" w:lineRule="exac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（四）加强对全市政法工作的督查，统筹协调社会治安综合治理、维护社会稳定、反邪教有关法律法规政策的实施工作。</w:t>
      </w:r>
    </w:p>
    <w:p>
      <w:pPr>
        <w:pStyle w:val="4"/>
        <w:spacing w:line="560" w:lineRule="exac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（五）组织开展全市政法领域的调查研究，研究拟定全市政法工作的方针政策和重大措施，及时向市委和省委政法委提出建议</w:t>
      </w:r>
      <w:r>
        <w:rPr>
          <w:rFonts w:ascii="仿宋_GB2312" w:eastAsia="仿宋_GB2312" w:cs="仿宋_GB2312"/>
          <w:color w:val="000000"/>
          <w:sz w:val="32"/>
          <w:szCs w:val="32"/>
        </w:rPr>
        <w:t>;</w:t>
      </w:r>
      <w:r>
        <w:rPr>
          <w:rFonts w:hint="eastAsia" w:ascii="仿宋_GB2312" w:eastAsia="仿宋_GB2312" w:cs="仿宋_GB2312"/>
          <w:color w:val="000000"/>
          <w:sz w:val="32"/>
          <w:szCs w:val="32"/>
        </w:rPr>
        <w:t>参与有关地方性法规、政府规章、规范性文件的起草、修改工作。</w:t>
      </w:r>
    </w:p>
    <w:p>
      <w:pPr>
        <w:pStyle w:val="4"/>
        <w:spacing w:line="560" w:lineRule="exact"/>
        <w:ind w:firstLine="640" w:firstLineChars="200"/>
        <w:jc w:val="both"/>
        <w:rPr>
          <w:rFonts w:ascii="仿宋_GB2312" w:eastAsia="仿宋_GB2312" w:cs="Times New Roman"/>
          <w:color w:val="000000"/>
          <w:sz w:val="32"/>
          <w:szCs w:val="32"/>
        </w:rPr>
      </w:pPr>
      <w:r>
        <w:rPr>
          <w:rFonts w:hint="eastAsia" w:ascii="仿宋_GB2312" w:eastAsia="仿宋_GB2312" w:cs="仿宋_GB2312"/>
          <w:color w:val="000000"/>
          <w:sz w:val="32"/>
          <w:szCs w:val="32"/>
        </w:rPr>
        <w:t>（六）掌握分析全市政法舆情动态</w:t>
      </w:r>
      <w:r>
        <w:rPr>
          <w:rFonts w:ascii="仿宋_GB2312" w:eastAsia="仿宋_GB2312" w:cs="仿宋_GB2312"/>
          <w:color w:val="000000"/>
          <w:sz w:val="32"/>
          <w:szCs w:val="32"/>
        </w:rPr>
        <w:t>,</w:t>
      </w:r>
      <w:r>
        <w:rPr>
          <w:rFonts w:hint="eastAsia" w:ascii="仿宋_GB2312" w:eastAsia="仿宋_GB2312" w:cs="仿宋_GB2312"/>
          <w:color w:val="000000"/>
          <w:sz w:val="32"/>
          <w:szCs w:val="32"/>
        </w:rPr>
        <w:t>指导协调政法部门媒体网络宣传工作，指导政法部门做好涉及政法工作的重大宣传工作。</w:t>
      </w:r>
    </w:p>
    <w:p>
      <w:pPr>
        <w:pStyle w:val="4"/>
        <w:spacing w:line="560" w:lineRule="exac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（七）监督和支持市级政法各部门依法行使职权，指导和协调市级政法各部门密切配合，研究和协调重大、疑难案件，推进严格执法、公正司法。</w:t>
      </w:r>
    </w:p>
    <w:p>
      <w:pPr>
        <w:pStyle w:val="4"/>
        <w:spacing w:line="560" w:lineRule="exac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（八）组织研究全市政法改革中带有方向性、倾向性和普遍性的重大问题，深化政法改革。</w:t>
      </w:r>
    </w:p>
    <w:p>
      <w:pPr>
        <w:pStyle w:val="4"/>
        <w:spacing w:line="560" w:lineRule="exact"/>
        <w:ind w:firstLine="640" w:firstLineChars="200"/>
        <w:jc w:val="both"/>
        <w:rPr>
          <w:rFonts w:ascii="仿宋_GB2312" w:eastAsia="仿宋_GB2312" w:cs="Times New Roman"/>
          <w:color w:val="000000"/>
          <w:sz w:val="32"/>
          <w:szCs w:val="32"/>
        </w:rPr>
      </w:pPr>
      <w:r>
        <w:rPr>
          <w:rFonts w:hint="eastAsia" w:ascii="仿宋_GB2312" w:eastAsia="仿宋_GB2312" w:cs="仿宋_GB2312"/>
          <w:color w:val="000000"/>
          <w:sz w:val="32"/>
          <w:szCs w:val="32"/>
        </w:rPr>
        <w:t>（九）指导推动全市政法系统党的建设和政法队伍建设，统筹推动政治督察和政治轮训。协助市委和市委组织部管理政法干部。管理长治市法学会。</w:t>
      </w:r>
    </w:p>
    <w:p>
      <w:pPr>
        <w:pStyle w:val="4"/>
        <w:spacing w:line="560" w:lineRule="exact"/>
        <w:ind w:firstLine="640" w:firstLineChars="200"/>
        <w:jc w:val="both"/>
        <w:rPr>
          <w:rFonts w:hint="eastAsia" w:ascii="仿宋" w:hAnsi="仿宋" w:eastAsia="仿宋" w:cs="仿宋"/>
          <w:b w:val="0"/>
          <w:bCs/>
          <w:sz w:val="32"/>
          <w:szCs w:val="32"/>
        </w:rPr>
      </w:pPr>
      <w:r>
        <w:rPr>
          <w:rFonts w:hint="eastAsia" w:ascii="仿宋_GB2312" w:eastAsia="仿宋_GB2312" w:cs="仿宋_GB2312"/>
          <w:color w:val="000000"/>
          <w:sz w:val="32"/>
          <w:szCs w:val="32"/>
        </w:rPr>
        <w:t>（十）完成省委政法委和市委交办的其他任务。</w:t>
      </w:r>
    </w:p>
    <w:p>
      <w:pPr>
        <w:keepNext w:val="0"/>
        <w:keepLines w:val="0"/>
        <w:pageBreakBefore w:val="0"/>
        <w:numPr>
          <w:ilvl w:val="0"/>
          <w:numId w:val="1"/>
        </w:numPr>
        <w:kinsoku/>
        <w:wordWrap/>
        <w:overflowPunct/>
        <w:topLinePunct w:val="0"/>
        <w:autoSpaceDE/>
        <w:autoSpaceDN/>
        <w:bidi w:val="0"/>
        <w:adjustRightInd/>
        <w:spacing w:line="560" w:lineRule="exact"/>
        <w:ind w:right="0" w:rightChars="0"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机构设置情况</w:t>
      </w:r>
    </w:p>
    <w:p>
      <w:pPr>
        <w:keepNext w:val="0"/>
        <w:keepLines w:val="0"/>
        <w:pageBreakBefore w:val="0"/>
        <w:numPr>
          <w:ilvl w:val="0"/>
          <w:numId w:val="0"/>
        </w:numPr>
        <w:kinsoku/>
        <w:wordWrap/>
        <w:overflowPunct/>
        <w:topLinePunct w:val="0"/>
        <w:autoSpaceDE/>
        <w:autoSpaceDN/>
        <w:bidi w:val="0"/>
        <w:adjustRightInd/>
        <w:spacing w:line="560" w:lineRule="exact"/>
        <w:ind w:right="0" w:rightChars="0" w:firstLine="640"/>
        <w:textAlignment w:val="auto"/>
        <w:outlineLvl w:val="9"/>
        <w:rPr>
          <w:rFonts w:hint="eastAsia" w:ascii="仿宋" w:hAnsi="仿宋" w:eastAsia="仿宋" w:cs="仿宋"/>
          <w:sz w:val="32"/>
          <w:szCs w:val="32"/>
        </w:rPr>
      </w:pPr>
      <w:r>
        <w:rPr>
          <w:rFonts w:hint="eastAsia" w:ascii="仿宋" w:hAnsi="仿宋" w:eastAsia="仿宋" w:cs="仿宋"/>
          <w:color w:val="000000"/>
          <w:kern w:val="0"/>
          <w:sz w:val="32"/>
          <w:szCs w:val="32"/>
        </w:rPr>
        <w:t>单位基本性质为行政单位，执行行政会计制度。</w:t>
      </w:r>
      <w:r>
        <w:rPr>
          <w:rFonts w:hint="eastAsia" w:ascii="仿宋" w:hAnsi="仿宋" w:eastAsia="仿宋" w:cs="仿宋"/>
          <w:sz w:val="32"/>
          <w:szCs w:val="32"/>
        </w:rPr>
        <w:t>中国共产党长治市委员会政法委员会，单位基本性质为党的机关，现单位负责人为</w:t>
      </w:r>
      <w:r>
        <w:rPr>
          <w:rFonts w:hint="eastAsia" w:ascii="仿宋" w:hAnsi="仿宋" w:eastAsia="仿宋" w:cs="仿宋"/>
          <w:sz w:val="32"/>
          <w:szCs w:val="32"/>
          <w:lang w:eastAsia="zh-CN"/>
        </w:rPr>
        <w:t>魏庆武</w:t>
      </w:r>
      <w:r>
        <w:rPr>
          <w:rFonts w:hint="eastAsia" w:ascii="仿宋" w:hAnsi="仿宋" w:eastAsia="仿宋" w:cs="仿宋"/>
          <w:sz w:val="32"/>
          <w:szCs w:val="32"/>
        </w:rPr>
        <w:t>，市委政法委共内设机构（科室）共</w:t>
      </w:r>
      <w:r>
        <w:rPr>
          <w:rFonts w:hint="eastAsia" w:ascii="仿宋" w:hAnsi="仿宋" w:eastAsia="仿宋" w:cs="仿宋"/>
          <w:sz w:val="32"/>
          <w:szCs w:val="32"/>
          <w:lang w:val="en-US" w:eastAsia="zh-CN"/>
        </w:rPr>
        <w:t>10</w:t>
      </w:r>
      <w:r>
        <w:rPr>
          <w:rFonts w:hint="eastAsia" w:ascii="仿宋" w:hAnsi="仿宋" w:eastAsia="仿宋" w:cs="仿宋"/>
          <w:sz w:val="32"/>
          <w:szCs w:val="32"/>
        </w:rPr>
        <w:t>个，市委政法委所属科级事业单位</w:t>
      </w:r>
      <w:r>
        <w:rPr>
          <w:rFonts w:hint="eastAsia" w:ascii="仿宋" w:hAnsi="仿宋" w:eastAsia="仿宋" w:cs="仿宋"/>
          <w:sz w:val="32"/>
          <w:szCs w:val="32"/>
          <w:lang w:val="en-US" w:eastAsia="zh-CN"/>
        </w:rPr>
        <w:t>7</w:t>
      </w:r>
      <w:r>
        <w:rPr>
          <w:rFonts w:hint="eastAsia" w:ascii="仿宋" w:hAnsi="仿宋" w:eastAsia="仿宋" w:cs="仿宋"/>
          <w:sz w:val="32"/>
          <w:szCs w:val="32"/>
        </w:rPr>
        <w:t>个，其中</w:t>
      </w:r>
      <w:r>
        <w:rPr>
          <w:rFonts w:hint="eastAsia" w:ascii="仿宋" w:hAnsi="仿宋" w:eastAsia="仿宋" w:cs="仿宋"/>
          <w:sz w:val="32"/>
          <w:szCs w:val="32"/>
          <w:lang w:val="en-US" w:eastAsia="zh-CN"/>
        </w:rPr>
        <w:t>5</w:t>
      </w:r>
      <w:r>
        <w:rPr>
          <w:rFonts w:hint="eastAsia" w:ascii="仿宋" w:hAnsi="仿宋" w:eastAsia="仿宋" w:cs="仿宋"/>
          <w:sz w:val="32"/>
          <w:szCs w:val="32"/>
        </w:rPr>
        <w:t>个全额事业单位，1个参公事业单位，1个自收自支事业单位，均为正科级建制。</w:t>
      </w:r>
    </w:p>
    <w:p>
      <w:pPr>
        <w:keepNext w:val="0"/>
        <w:keepLines w:val="0"/>
        <w:pageBreakBefore w:val="0"/>
        <w:kinsoku/>
        <w:wordWrap/>
        <w:overflowPunct/>
        <w:topLinePunct w:val="0"/>
        <w:autoSpaceDE/>
        <w:autoSpaceDN/>
        <w:bidi w:val="0"/>
        <w:adjustRightInd/>
        <w:snapToGrid w:val="0"/>
        <w:spacing w:line="560" w:lineRule="exact"/>
        <w:ind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单位定编人数</w:t>
      </w:r>
      <w:r>
        <w:rPr>
          <w:rFonts w:hint="eastAsia" w:ascii="仿宋" w:hAnsi="仿宋" w:eastAsia="仿宋" w:cs="仿宋"/>
          <w:sz w:val="32"/>
          <w:szCs w:val="32"/>
          <w:lang w:val="en-US" w:eastAsia="zh-CN"/>
        </w:rPr>
        <w:t>73</w:t>
      </w:r>
      <w:r>
        <w:rPr>
          <w:rFonts w:hint="eastAsia" w:ascii="仿宋" w:hAnsi="仿宋" w:eastAsia="仿宋" w:cs="仿宋"/>
          <w:sz w:val="32"/>
          <w:szCs w:val="32"/>
        </w:rPr>
        <w:t>人</w:t>
      </w:r>
      <w:r>
        <w:rPr>
          <w:rFonts w:hint="eastAsia" w:ascii="仿宋" w:hAnsi="仿宋" w:eastAsia="仿宋" w:cs="仿宋"/>
          <w:sz w:val="32"/>
          <w:szCs w:val="32"/>
          <w:lang w:eastAsia="zh-CN"/>
        </w:rPr>
        <w:t>，</w:t>
      </w:r>
      <w:r>
        <w:rPr>
          <w:rFonts w:hint="eastAsia" w:ascii="仿宋" w:hAnsi="仿宋" w:eastAsia="仿宋" w:cs="仿宋"/>
          <w:sz w:val="32"/>
          <w:szCs w:val="32"/>
        </w:rPr>
        <w:t>独立编制机构</w:t>
      </w:r>
      <w:r>
        <w:rPr>
          <w:rFonts w:hint="eastAsia" w:ascii="仿宋" w:hAnsi="仿宋" w:eastAsia="仿宋" w:cs="仿宋"/>
          <w:sz w:val="32"/>
          <w:szCs w:val="32"/>
          <w:lang w:val="en-US" w:eastAsia="zh-CN"/>
        </w:rPr>
        <w:t>7</w:t>
      </w:r>
      <w:r>
        <w:rPr>
          <w:rFonts w:hint="eastAsia" w:ascii="仿宋" w:hAnsi="仿宋" w:eastAsia="仿宋" w:cs="仿宋"/>
          <w:sz w:val="32"/>
          <w:szCs w:val="32"/>
        </w:rPr>
        <w:t>个，</w:t>
      </w:r>
      <w:r>
        <w:rPr>
          <w:rFonts w:hint="eastAsia" w:ascii="仿宋" w:hAnsi="仿宋" w:eastAsia="仿宋" w:cs="仿宋"/>
          <w:color w:val="000000"/>
          <w:kern w:val="0"/>
          <w:sz w:val="32"/>
          <w:szCs w:val="32"/>
        </w:rPr>
        <w:t>行政</w:t>
      </w:r>
      <w:r>
        <w:rPr>
          <w:rFonts w:hint="eastAsia" w:ascii="仿宋" w:hAnsi="仿宋" w:eastAsia="仿宋" w:cs="仿宋"/>
          <w:sz w:val="32"/>
          <w:szCs w:val="32"/>
        </w:rPr>
        <w:t>编制数2</w:t>
      </w:r>
      <w:r>
        <w:rPr>
          <w:rFonts w:hint="eastAsia" w:ascii="仿宋" w:hAnsi="仿宋" w:eastAsia="仿宋" w:cs="仿宋"/>
          <w:sz w:val="32"/>
          <w:szCs w:val="32"/>
          <w:lang w:val="en-US" w:eastAsia="zh-CN"/>
        </w:rPr>
        <w:t>8</w:t>
      </w:r>
      <w:r>
        <w:rPr>
          <w:rFonts w:hint="eastAsia" w:ascii="仿宋" w:hAnsi="仿宋" w:eastAsia="仿宋" w:cs="仿宋"/>
          <w:sz w:val="32"/>
          <w:szCs w:val="32"/>
        </w:rPr>
        <w:t>个，参公管理事业编制</w:t>
      </w:r>
      <w:r>
        <w:rPr>
          <w:rFonts w:hint="eastAsia" w:ascii="仿宋" w:hAnsi="仿宋" w:eastAsia="仿宋" w:cs="仿宋"/>
          <w:sz w:val="32"/>
          <w:szCs w:val="32"/>
          <w:lang w:val="en-US" w:eastAsia="zh-CN"/>
        </w:rPr>
        <w:t>4</w:t>
      </w:r>
      <w:r>
        <w:rPr>
          <w:rFonts w:hint="eastAsia" w:ascii="仿宋" w:hAnsi="仿宋" w:eastAsia="仿宋" w:cs="仿宋"/>
          <w:sz w:val="32"/>
          <w:szCs w:val="32"/>
        </w:rPr>
        <w:t>个，事业编制数</w:t>
      </w:r>
      <w:r>
        <w:rPr>
          <w:rFonts w:hint="eastAsia" w:ascii="仿宋" w:hAnsi="仿宋" w:eastAsia="仿宋" w:cs="仿宋"/>
          <w:sz w:val="32"/>
          <w:szCs w:val="32"/>
          <w:lang w:val="en-US" w:eastAsia="zh-CN"/>
        </w:rPr>
        <w:t>41</w:t>
      </w:r>
      <w:r>
        <w:rPr>
          <w:rFonts w:hint="eastAsia" w:ascii="仿宋" w:hAnsi="仿宋" w:eastAsia="仿宋" w:cs="仿宋"/>
          <w:sz w:val="32"/>
          <w:szCs w:val="32"/>
        </w:rPr>
        <w:t>个；行政在职人员</w:t>
      </w:r>
      <w:r>
        <w:rPr>
          <w:rFonts w:hint="eastAsia" w:ascii="仿宋" w:hAnsi="仿宋" w:eastAsia="仿宋" w:cs="仿宋"/>
          <w:sz w:val="32"/>
          <w:szCs w:val="32"/>
          <w:lang w:val="en-US" w:eastAsia="zh-CN"/>
        </w:rPr>
        <w:t>26</w:t>
      </w:r>
      <w:r>
        <w:rPr>
          <w:rFonts w:hint="eastAsia" w:ascii="仿宋" w:hAnsi="仿宋" w:eastAsia="仿宋" w:cs="仿宋"/>
          <w:sz w:val="32"/>
          <w:szCs w:val="32"/>
        </w:rPr>
        <w:t>人，离休1人；参公事业在职</w:t>
      </w:r>
      <w:r>
        <w:rPr>
          <w:rFonts w:hint="eastAsia" w:ascii="仿宋" w:hAnsi="仿宋" w:eastAsia="仿宋" w:cs="仿宋"/>
          <w:sz w:val="32"/>
          <w:szCs w:val="32"/>
          <w:lang w:val="en-US" w:eastAsia="zh-CN"/>
        </w:rPr>
        <w:t>4</w:t>
      </w:r>
      <w:r>
        <w:rPr>
          <w:rFonts w:hint="eastAsia" w:ascii="仿宋" w:hAnsi="仿宋" w:eastAsia="仿宋" w:cs="仿宋"/>
          <w:sz w:val="32"/>
          <w:szCs w:val="32"/>
        </w:rPr>
        <w:t>人，事业在职</w:t>
      </w:r>
      <w:r>
        <w:rPr>
          <w:rFonts w:hint="eastAsia" w:ascii="仿宋" w:hAnsi="仿宋" w:eastAsia="仿宋" w:cs="仿宋"/>
          <w:sz w:val="32"/>
          <w:szCs w:val="32"/>
          <w:lang w:val="en-US" w:eastAsia="zh-CN"/>
        </w:rPr>
        <w:t>37</w:t>
      </w:r>
      <w:r>
        <w:rPr>
          <w:rFonts w:hint="eastAsia" w:ascii="仿宋" w:hAnsi="仿宋" w:eastAsia="仿宋" w:cs="仿宋"/>
          <w:sz w:val="32"/>
          <w:szCs w:val="32"/>
        </w:rPr>
        <w:t>人。</w:t>
      </w:r>
    </w:p>
    <w:p>
      <w:pPr>
        <w:pStyle w:val="5"/>
        <w:keepNext w:val="0"/>
        <w:keepLines w:val="0"/>
        <w:pageBreakBefore w:val="0"/>
        <w:widowControl/>
        <w:kinsoku/>
        <w:wordWrap/>
        <w:overflowPunct/>
        <w:topLinePunct w:val="0"/>
        <w:autoSpaceDE/>
        <w:autoSpaceDN/>
        <w:bidi w:val="0"/>
        <w:adjustRightInd/>
        <w:spacing w:before="0" w:after="0" w:line="560" w:lineRule="exact"/>
        <w:ind w:right="0" w:rightChars="0" w:firstLine="420"/>
        <w:textAlignment w:val="auto"/>
        <w:outlineLvl w:val="9"/>
        <w:rPr>
          <w:rFonts w:hint="eastAsia" w:ascii="仿宋" w:hAnsi="仿宋" w:eastAsia="仿宋" w:cs="仿宋"/>
          <w:b/>
          <w:bCs/>
          <w:color w:val="2C2C2E"/>
          <w:sz w:val="32"/>
          <w:szCs w:val="32"/>
        </w:rPr>
      </w:pPr>
      <w:r>
        <w:rPr>
          <w:rFonts w:hint="eastAsia" w:ascii="黑体" w:hAnsi="黑体" w:eastAsia="黑体" w:cs="黑体"/>
          <w:b/>
          <w:bCs/>
          <w:color w:val="2C2C2E"/>
          <w:sz w:val="32"/>
          <w:szCs w:val="32"/>
          <w:lang w:eastAsia="zh-CN"/>
        </w:rPr>
        <w:t>第</w:t>
      </w:r>
      <w:r>
        <w:rPr>
          <w:rFonts w:hint="eastAsia" w:ascii="黑体" w:hAnsi="黑体" w:eastAsia="黑体" w:cs="黑体"/>
          <w:b/>
          <w:bCs/>
          <w:color w:val="2C2C2E"/>
          <w:sz w:val="32"/>
          <w:szCs w:val="32"/>
        </w:rPr>
        <w:t>二</w:t>
      </w:r>
      <w:r>
        <w:rPr>
          <w:rFonts w:hint="eastAsia" w:ascii="黑体" w:hAnsi="黑体" w:eastAsia="黑体" w:cs="黑体"/>
          <w:b/>
          <w:bCs/>
          <w:color w:val="2C2C2E"/>
          <w:sz w:val="32"/>
          <w:szCs w:val="32"/>
          <w:lang w:eastAsia="zh-CN"/>
        </w:rPr>
        <w:t>部分</w:t>
      </w:r>
      <w:r>
        <w:rPr>
          <w:rFonts w:hint="eastAsia" w:ascii="黑体" w:hAnsi="黑体" w:eastAsia="黑体" w:cs="黑体"/>
          <w:b/>
          <w:bCs/>
          <w:color w:val="2C2C2E"/>
          <w:sz w:val="32"/>
          <w:szCs w:val="32"/>
        </w:rPr>
        <w:t>201</w:t>
      </w:r>
      <w:r>
        <w:rPr>
          <w:rFonts w:hint="eastAsia" w:ascii="黑体" w:hAnsi="黑体" w:eastAsia="黑体" w:cs="黑体"/>
          <w:b/>
          <w:bCs/>
          <w:color w:val="2C2C2E"/>
          <w:sz w:val="32"/>
          <w:szCs w:val="32"/>
          <w:lang w:val="en-US" w:eastAsia="zh-CN"/>
        </w:rPr>
        <w:t>9</w:t>
      </w:r>
      <w:r>
        <w:rPr>
          <w:rFonts w:hint="eastAsia" w:ascii="黑体" w:hAnsi="黑体" w:eastAsia="黑体" w:cs="黑体"/>
          <w:b/>
          <w:bCs/>
          <w:color w:val="2C2C2E"/>
          <w:sz w:val="32"/>
          <w:szCs w:val="32"/>
        </w:rPr>
        <w:t>年</w:t>
      </w:r>
      <w:r>
        <w:rPr>
          <w:rFonts w:hint="eastAsia" w:ascii="黑体" w:hAnsi="黑体" w:eastAsia="黑体" w:cs="黑体"/>
          <w:b/>
          <w:bCs/>
          <w:color w:val="2C2C2E"/>
          <w:sz w:val="32"/>
          <w:szCs w:val="32"/>
          <w:lang w:eastAsia="zh-CN"/>
        </w:rPr>
        <w:t>度部门预算情况</w:t>
      </w:r>
      <w:r>
        <w:rPr>
          <w:rFonts w:hint="eastAsia" w:ascii="黑体" w:hAnsi="黑体" w:eastAsia="黑体" w:cs="黑体"/>
          <w:b/>
          <w:bCs/>
          <w:color w:val="2C2C2E"/>
          <w:sz w:val="32"/>
          <w:szCs w:val="32"/>
        </w:rPr>
        <w:t>说明</w:t>
      </w:r>
    </w:p>
    <w:p>
      <w:pPr>
        <w:pStyle w:val="5"/>
        <w:keepNext w:val="0"/>
        <w:keepLines w:val="0"/>
        <w:pageBreakBefore w:val="0"/>
        <w:widowControl/>
        <w:kinsoku/>
        <w:wordWrap/>
        <w:overflowPunct/>
        <w:topLinePunct w:val="0"/>
        <w:autoSpaceDE/>
        <w:autoSpaceDN/>
        <w:bidi w:val="0"/>
        <w:adjustRightInd/>
        <w:spacing w:before="0" w:after="0" w:line="560" w:lineRule="exact"/>
        <w:ind w:right="0" w:rightChars="0" w:firstLine="420"/>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一、2019年度部门预算数据变动情况及原因</w:t>
      </w:r>
    </w:p>
    <w:p>
      <w:pPr>
        <w:pStyle w:val="5"/>
        <w:keepNext w:val="0"/>
        <w:keepLines w:val="0"/>
        <w:pageBreakBefore w:val="0"/>
        <w:widowControl/>
        <w:kinsoku/>
        <w:wordWrap/>
        <w:overflowPunct/>
        <w:topLinePunct w:val="0"/>
        <w:autoSpaceDE/>
        <w:autoSpaceDN/>
        <w:bidi w:val="0"/>
        <w:adjustRightInd/>
        <w:spacing w:before="0" w:after="0" w:line="560" w:lineRule="exact"/>
        <w:ind w:right="0" w:rightChars="0"/>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市委政法委2019年度收入一般公共预算资金4273.66万元，比上年预算收入4140.25增加3.22%，2019年预算支出4273.66万元，其中基本支出803.36万元，项目支出3740.30万元，其中基本支出比上年预算支出809.42万元减少0.75%，原因是人员减少，津贴补贴和养老金减少。项目支出比上年预算支出3330.83元增加了4.19%，原因是巡逻队员工资保险增加。</w:t>
      </w:r>
    </w:p>
    <w:p>
      <w:pPr>
        <w:pStyle w:val="5"/>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二、“三公”经费增减变动原因说明</w:t>
      </w:r>
    </w:p>
    <w:p>
      <w:pPr>
        <w:pStyle w:val="5"/>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“三公”经费2019年预算数17.5万元，比上年预算13万元增加35%，原因是增加长治市防范和处理邪教问题办公室，经费增加。</w:t>
      </w:r>
    </w:p>
    <w:p>
      <w:pPr>
        <w:pStyle w:val="5"/>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三、机关运行经费增减变动原因说明</w:t>
      </w:r>
    </w:p>
    <w:p>
      <w:pPr>
        <w:pStyle w:val="5"/>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市委政法委2019年机关运行经费2019年预算73.61万元，比上年预算53.26元增加38%，原因是增加市防范和处理邪教问题办公室（机构改革合并为我委内设科室），经费增加。</w:t>
      </w:r>
    </w:p>
    <w:p>
      <w:pPr>
        <w:pStyle w:val="5"/>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四、其他说明</w:t>
      </w:r>
    </w:p>
    <w:p>
      <w:pPr>
        <w:pStyle w:val="5"/>
        <w:keepNext w:val="0"/>
        <w:keepLines w:val="0"/>
        <w:pageBreakBefore w:val="0"/>
        <w:widowControl/>
        <w:kinsoku/>
        <w:wordWrap/>
        <w:overflowPunct/>
        <w:topLinePunct w:val="0"/>
        <w:autoSpaceDE/>
        <w:autoSpaceDN/>
        <w:bidi w:val="0"/>
        <w:adjustRightInd/>
        <w:spacing w:before="0" w:after="0" w:line="560" w:lineRule="exact"/>
        <w:ind w:right="0" w:rightChars="0" w:firstLine="640" w:firstLineChars="200"/>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其他公共安全支出27597500元，用于支出全市700名治安巡逻队员的工资、保险费等。</w:t>
      </w:r>
    </w:p>
    <w:p>
      <w:pPr>
        <w:pStyle w:val="5"/>
        <w:keepNext w:val="0"/>
        <w:keepLines w:val="0"/>
        <w:pageBreakBefore w:val="0"/>
        <w:widowControl/>
        <w:numPr>
          <w:ilvl w:val="0"/>
          <w:numId w:val="2"/>
        </w:numPr>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政府采购情况</w:t>
      </w:r>
    </w:p>
    <w:p>
      <w:pPr>
        <w:pStyle w:val="5"/>
        <w:keepNext w:val="0"/>
        <w:keepLines w:val="0"/>
        <w:pageBreakBefore w:val="0"/>
        <w:widowControl/>
        <w:numPr>
          <w:numId w:val="0"/>
        </w:numPr>
        <w:kinsoku/>
        <w:wordWrap/>
        <w:overflowPunct/>
        <w:topLinePunct w:val="0"/>
        <w:autoSpaceDE/>
        <w:autoSpaceDN/>
        <w:bidi w:val="0"/>
        <w:adjustRightInd/>
        <w:snapToGrid/>
        <w:spacing w:before="0" w:after="0" w:line="560" w:lineRule="exact"/>
        <w:ind w:leftChars="200" w:right="0" w:rightChars="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2019年市委政法委政府采购预算总额90万元，其中：政府采购货物预算90万元，（巡逻队采购制服49万元）。</w:t>
      </w:r>
    </w:p>
    <w:p>
      <w:pPr>
        <w:pStyle w:val="5"/>
        <w:keepNext w:val="0"/>
        <w:keepLines w:val="0"/>
        <w:pageBreakBefore w:val="0"/>
        <w:widowControl/>
        <w:kinsoku/>
        <w:wordWrap/>
        <w:overflowPunct/>
        <w:topLinePunct w:val="0"/>
        <w:autoSpaceDE/>
        <w:autoSpaceDN/>
        <w:bidi w:val="0"/>
        <w:adjustRightInd/>
        <w:spacing w:before="0" w:after="0" w:line="560" w:lineRule="exact"/>
        <w:ind w:right="0" w:rightChars="0" w:firstLine="420"/>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（二）政府购买服务指导性目录无</w:t>
      </w:r>
      <w:bookmarkStart w:id="2" w:name="_GoBack"/>
      <w:bookmarkEnd w:id="2"/>
    </w:p>
    <w:p>
      <w:pPr>
        <w:pStyle w:val="5"/>
        <w:keepNext w:val="0"/>
        <w:keepLines w:val="0"/>
        <w:pageBreakBefore w:val="0"/>
        <w:widowControl/>
        <w:kinsoku/>
        <w:wordWrap/>
        <w:overflowPunct/>
        <w:topLinePunct w:val="0"/>
        <w:autoSpaceDE/>
        <w:autoSpaceDN/>
        <w:bidi w:val="0"/>
        <w:adjustRightInd/>
        <w:spacing w:before="0" w:after="0" w:line="560" w:lineRule="exact"/>
        <w:ind w:right="0" w:rightChars="0" w:firstLine="420"/>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（三）国有资产使用情况</w:t>
      </w:r>
    </w:p>
    <w:p>
      <w:pPr>
        <w:pStyle w:val="5"/>
        <w:keepNext w:val="0"/>
        <w:keepLines w:val="0"/>
        <w:pageBreakBefore w:val="0"/>
        <w:widowControl/>
        <w:kinsoku/>
        <w:wordWrap/>
        <w:overflowPunct/>
        <w:topLinePunct w:val="0"/>
        <w:autoSpaceDE/>
        <w:autoSpaceDN/>
        <w:bidi w:val="0"/>
        <w:adjustRightInd/>
        <w:spacing w:before="0" w:after="0" w:line="560" w:lineRule="exact"/>
        <w:ind w:right="0" w:rightChars="0" w:firstLine="960" w:firstLineChars="300"/>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车辆情况，车辆编制4个，实有4个。</w:t>
      </w:r>
    </w:p>
    <w:p>
      <w:pPr>
        <w:pStyle w:val="5"/>
        <w:keepNext w:val="0"/>
        <w:keepLines w:val="0"/>
        <w:pageBreakBefore w:val="0"/>
        <w:widowControl/>
        <w:numPr>
          <w:ilvl w:val="0"/>
          <w:numId w:val="3"/>
        </w:numPr>
        <w:kinsoku/>
        <w:wordWrap/>
        <w:overflowPunct/>
        <w:topLinePunct w:val="0"/>
        <w:autoSpaceDE/>
        <w:autoSpaceDN/>
        <w:bidi w:val="0"/>
        <w:adjustRightInd/>
        <w:spacing w:before="0" w:after="0" w:line="560" w:lineRule="exact"/>
        <w:ind w:right="0" w:rightChars="0" w:firstLine="420"/>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绩效管理情况</w:t>
      </w:r>
    </w:p>
    <w:p>
      <w:pPr>
        <w:pStyle w:val="5"/>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2019年市委政法委实行绩效目标管理的项目3个，涉及一般公共预算当年拨款452万元。</w:t>
      </w:r>
    </w:p>
    <w:p>
      <w:pPr>
        <w:pStyle w:val="5"/>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（五）非税收入和基金执收情况无</w:t>
      </w:r>
    </w:p>
    <w:p>
      <w:pPr>
        <w:pStyle w:val="5"/>
        <w:keepNext w:val="0"/>
        <w:keepLines w:val="0"/>
        <w:pageBreakBefore w:val="0"/>
        <w:widowControl/>
        <w:kinsoku/>
        <w:wordWrap/>
        <w:overflowPunct/>
        <w:topLinePunct w:val="0"/>
        <w:autoSpaceDE/>
        <w:autoSpaceDN/>
        <w:bidi w:val="0"/>
        <w:adjustRightInd/>
        <w:spacing w:before="0" w:after="0" w:line="560" w:lineRule="exact"/>
        <w:ind w:right="0" w:rightChars="0" w:firstLine="420"/>
        <w:textAlignment w:val="auto"/>
        <w:outlineLvl w:val="9"/>
        <w:rPr>
          <w:rFonts w:hint="eastAsia" w:ascii="黑体" w:hAnsi="黑体" w:eastAsia="黑体" w:cs="黑体"/>
          <w:b/>
          <w:bCs/>
          <w:color w:val="2C2C2E"/>
          <w:sz w:val="32"/>
          <w:szCs w:val="32"/>
          <w:lang w:val="en-US" w:eastAsia="zh-CN"/>
        </w:rPr>
      </w:pPr>
      <w:r>
        <w:rPr>
          <w:rFonts w:hint="eastAsia" w:ascii="黑体" w:hAnsi="黑体" w:eastAsia="黑体" w:cs="黑体"/>
          <w:b/>
          <w:bCs/>
          <w:color w:val="2C2C2E"/>
          <w:sz w:val="32"/>
          <w:szCs w:val="32"/>
          <w:lang w:val="en-US" w:eastAsia="zh-CN"/>
        </w:rPr>
        <w:t>第三部 名词解释</w:t>
      </w:r>
    </w:p>
    <w:p>
      <w:pPr>
        <w:pStyle w:val="5"/>
        <w:keepNext w:val="0"/>
        <w:keepLines w:val="0"/>
        <w:pageBreakBefore w:val="0"/>
        <w:widowControl/>
        <w:kinsoku/>
        <w:wordWrap/>
        <w:overflowPunct/>
        <w:topLinePunct w:val="0"/>
        <w:autoSpaceDE/>
        <w:autoSpaceDN/>
        <w:bidi w:val="0"/>
        <w:adjustRightInd/>
        <w:spacing w:before="0" w:after="0" w:line="560" w:lineRule="exact"/>
        <w:ind w:right="0" w:rightChars="0" w:firstLine="420"/>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（一）基本支出：指为保障机构正常运转、完成日常工作任务而发生的人员支出和公用支出。</w:t>
      </w:r>
    </w:p>
    <w:p>
      <w:pPr>
        <w:pStyle w:val="5"/>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（二）项目支出：指在基本支出之外为完成特定行政任务和事业发展目标所发生的支出。</w:t>
      </w:r>
    </w:p>
    <w:p>
      <w:pPr>
        <w:pStyle w:val="5"/>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三）“三公”经费：指市直部门用一般公共预算安排的因公出国（境）费、公务用车购置及运行费和公务接待费。其中，因公出国（境）费反映单位公务出国（境）的国际旅费、国外城市间交通费、住宿费、伙食费、培训费、公杂费等支出；公务用车购置费反映公务用车车辆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5"/>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（四）机关运行经费：指行政单位和参照公务员法管理的事业单位使用一般公共预算安排的基本支出中的日常公用经费支出。</w:t>
      </w:r>
    </w:p>
    <w:p>
      <w:pPr>
        <w:keepNext w:val="0"/>
        <w:keepLines w:val="0"/>
        <w:pageBreakBefore w:val="0"/>
        <w:kinsoku/>
        <w:wordWrap/>
        <w:overflowPunct/>
        <w:topLinePunct w:val="0"/>
        <w:autoSpaceDE/>
        <w:autoSpaceDN/>
        <w:bidi w:val="0"/>
        <w:adjustRightInd/>
        <w:snapToGrid w:val="0"/>
        <w:spacing w:line="560" w:lineRule="exact"/>
        <w:ind w:right="0" w:rightChars="0"/>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2019年3月25日</w:t>
      </w:r>
      <w:bookmarkEnd w:id="1"/>
    </w:p>
    <w:p/>
    <w:sectPr>
      <w:headerReference r:id="rId5" w:type="first"/>
      <w:footerReference r:id="rId8" w:type="first"/>
      <w:headerReference r:id="rId3" w:type="default"/>
      <w:footerReference r:id="rId6" w:type="default"/>
      <w:headerReference r:id="rId4" w:type="even"/>
      <w:footerReference r:id="rId7" w:type="even"/>
      <w:pgSz w:w="11906" w:h="16838"/>
      <w:pgMar w:top="1985" w:right="1797" w:bottom="1588"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roma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80131"/>
    <w:multiLevelType w:val="singleLevel"/>
    <w:tmpl w:val="02B80131"/>
    <w:lvl w:ilvl="0" w:tentative="0">
      <w:start w:val="1"/>
      <w:numFmt w:val="chineseCounting"/>
      <w:suff w:val="nothing"/>
      <w:lvlText w:val="（%1）"/>
      <w:lvlJc w:val="left"/>
      <w:rPr>
        <w:rFonts w:hint="eastAsia"/>
      </w:rPr>
    </w:lvl>
  </w:abstractNum>
  <w:abstractNum w:abstractNumId="1">
    <w:nsid w:val="58EDF4A2"/>
    <w:multiLevelType w:val="singleLevel"/>
    <w:tmpl w:val="58EDF4A2"/>
    <w:lvl w:ilvl="0" w:tentative="0">
      <w:start w:val="2"/>
      <w:numFmt w:val="chineseCounting"/>
      <w:suff w:val="nothing"/>
      <w:lvlText w:val="%1、"/>
      <w:lvlJc w:val="left"/>
    </w:lvl>
  </w:abstractNum>
  <w:abstractNum w:abstractNumId="2">
    <w:nsid w:val="58F5D159"/>
    <w:multiLevelType w:val="singleLevel"/>
    <w:tmpl w:val="58F5D159"/>
    <w:lvl w:ilvl="0" w:tentative="0">
      <w:start w:val="4"/>
      <w:numFmt w:val="chineseCounting"/>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A604A7"/>
    <w:rsid w:val="01C02D2F"/>
    <w:rsid w:val="1B887789"/>
    <w:rsid w:val="1BB766B7"/>
    <w:rsid w:val="2733296B"/>
    <w:rsid w:val="2E352D69"/>
    <w:rsid w:val="2EB6586E"/>
    <w:rsid w:val="314A0B27"/>
    <w:rsid w:val="32E7014A"/>
    <w:rsid w:val="381430FE"/>
    <w:rsid w:val="4A26374B"/>
    <w:rsid w:val="574750B7"/>
    <w:rsid w:val="575E5958"/>
    <w:rsid w:val="5DD06303"/>
    <w:rsid w:val="63A604A7"/>
    <w:rsid w:val="6D67414A"/>
    <w:rsid w:val="77CD59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5">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323</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2019-03-25T06:49:00Z</dcterms:created>
  <dc:creator>lenovo</dc:creator>
  <cp:lastModifiedBy>lenovo</cp:lastModifiedBy>
  <cp:lastPrinted>2019-03-27T03:29:14Z</cp:lastPrinted>
  <dcterms:modified xsi:type="dcterms:W3CDTF">2019-03-27T03:37:39Z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