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C5" w:rsidRPr="00EC03B6" w:rsidRDefault="00F93F67">
      <w:pPr>
        <w:pStyle w:val="1"/>
        <w:jc w:val="center"/>
        <w:rPr>
          <w:rFonts w:ascii="方正小标宋_GBK" w:eastAsia="方正小标宋_GBK" w:hAnsi="Times New Roman" w:cs="Times New Roman"/>
          <w:b w:val="0"/>
          <w:bCs/>
        </w:rPr>
      </w:pPr>
      <w:r w:rsidRPr="00EC03B6">
        <w:rPr>
          <w:rFonts w:ascii="方正小标宋_GBK" w:eastAsia="方正小标宋_GBK" w:hAnsi="Times New Roman" w:cs="Times New Roman" w:hint="eastAsia"/>
          <w:b w:val="0"/>
          <w:bCs/>
        </w:rPr>
        <w:t>202</w:t>
      </w:r>
      <w:r w:rsidR="003648CE" w:rsidRPr="00EC03B6">
        <w:rPr>
          <w:rFonts w:ascii="方正小标宋_GBK" w:eastAsia="方正小标宋_GBK" w:hAnsi="Times New Roman" w:cs="Times New Roman" w:hint="eastAsia"/>
          <w:b w:val="0"/>
          <w:bCs/>
        </w:rPr>
        <w:t>2</w:t>
      </w:r>
      <w:r w:rsidRPr="00EC03B6">
        <w:rPr>
          <w:rFonts w:ascii="方正小标宋_GBK" w:eastAsia="方正小标宋_GBK" w:hAnsi="Times New Roman" w:cs="Times New Roman" w:hint="eastAsia"/>
          <w:b w:val="0"/>
          <w:bCs/>
        </w:rPr>
        <w:t>年政府预算公开相关说明</w:t>
      </w:r>
    </w:p>
    <w:p w:rsidR="00F243C5" w:rsidRPr="0006547F" w:rsidRDefault="00F93F67">
      <w:pPr>
        <w:ind w:firstLine="420"/>
        <w:rPr>
          <w:rFonts w:ascii="仿宋_GB2312" w:eastAsia="仿宋_GB2312" w:hAnsi="仿宋" w:cs="Times New Roman"/>
          <w:sz w:val="32"/>
          <w:szCs w:val="32"/>
        </w:rPr>
      </w:pPr>
      <w:r w:rsidRPr="0006547F">
        <w:rPr>
          <w:rFonts w:ascii="仿宋_GB2312" w:eastAsia="仿宋_GB2312" w:hAnsi="仿宋" w:cs="Times New Roman" w:hint="eastAsia"/>
          <w:sz w:val="32"/>
          <w:szCs w:val="32"/>
        </w:rPr>
        <w:t xml:space="preserve"> 根据《财政部关于印发&lt;地方预决算公开操作规程&gt;的通知》（财预〔2016〕143号）文件精神和《山西省财政厅办公室关于印发山西省财政预决算领域基层政务公开标准指引的通知》（晋财办发</w:t>
      </w:r>
      <w:r w:rsidRPr="0006547F">
        <w:rPr>
          <w:rFonts w:ascii="仿宋_GB2312" w:eastAsia="仿宋_GB2312" w:hAnsi="仿宋" w:cs="Times New Roman" w:hint="eastAsia"/>
          <w:sz w:val="32"/>
        </w:rPr>
        <w:t>〔2020〕5号</w:t>
      </w:r>
      <w:r w:rsidRPr="0006547F">
        <w:rPr>
          <w:rFonts w:ascii="仿宋_GB2312" w:eastAsia="仿宋_GB2312" w:hAnsi="仿宋" w:cs="Times New Roman" w:hint="eastAsia"/>
          <w:sz w:val="32"/>
          <w:szCs w:val="32"/>
        </w:rPr>
        <w:t>）要求，为方便社会公众对我市202</w:t>
      </w:r>
      <w:r w:rsidR="003648CE" w:rsidRPr="0006547F">
        <w:rPr>
          <w:rFonts w:ascii="仿宋_GB2312" w:eastAsia="仿宋_GB2312" w:hAnsi="仿宋" w:cs="Times New Roman" w:hint="eastAsia"/>
          <w:sz w:val="32"/>
          <w:szCs w:val="32"/>
        </w:rPr>
        <w:t>2</w:t>
      </w:r>
      <w:r w:rsidRPr="0006547F">
        <w:rPr>
          <w:rFonts w:ascii="仿宋_GB2312" w:eastAsia="仿宋_GB2312" w:hAnsi="仿宋" w:cs="Times New Roman" w:hint="eastAsia"/>
          <w:sz w:val="32"/>
          <w:szCs w:val="32"/>
        </w:rPr>
        <w:t>年政府预算的理解和监督，现将有关重要事项说明如下：</w:t>
      </w:r>
    </w:p>
    <w:p w:rsidR="00F243C5" w:rsidRPr="0074648F" w:rsidRDefault="00F93F67">
      <w:pPr>
        <w:ind w:firstLineChars="200" w:firstLine="640"/>
        <w:rPr>
          <w:rFonts w:ascii="黑体" w:eastAsia="黑体" w:hAnsi="黑体" w:cs="Times New Roman"/>
          <w:sz w:val="32"/>
          <w:szCs w:val="32"/>
        </w:rPr>
      </w:pPr>
      <w:r w:rsidRPr="0074648F">
        <w:rPr>
          <w:rFonts w:ascii="黑体" w:eastAsia="黑体" w:hAnsi="黑体" w:cs="Times New Roman" w:hint="eastAsia"/>
          <w:sz w:val="32"/>
          <w:szCs w:val="32"/>
        </w:rPr>
        <w:t>一、</w:t>
      </w:r>
      <w:r w:rsidRPr="0074648F">
        <w:rPr>
          <w:rFonts w:ascii="黑体" w:eastAsia="黑体" w:hAnsi="黑体" w:cs="Times New Roman"/>
          <w:sz w:val="32"/>
          <w:szCs w:val="32"/>
        </w:rPr>
        <w:t>“三公”经费预算增减变化说明</w:t>
      </w:r>
    </w:p>
    <w:p w:rsidR="00F243C5" w:rsidRPr="0006547F" w:rsidRDefault="00F93F67">
      <w:pPr>
        <w:ind w:firstLine="640"/>
        <w:rPr>
          <w:rFonts w:ascii="仿宋_GB2312" w:eastAsia="仿宋_GB2312" w:hAnsi="仿宋" w:cs="Times New Roman"/>
          <w:sz w:val="32"/>
          <w:szCs w:val="32"/>
        </w:rPr>
      </w:pPr>
      <w:r w:rsidRPr="0006547F">
        <w:rPr>
          <w:rFonts w:ascii="仿宋_GB2312" w:eastAsia="仿宋_GB2312" w:hAnsi="仿宋" w:cs="Times New Roman" w:hint="eastAsia"/>
          <w:sz w:val="32"/>
          <w:szCs w:val="32"/>
        </w:rPr>
        <w:t>202</w:t>
      </w:r>
      <w:r w:rsidR="00220BEE" w:rsidRPr="0006547F">
        <w:rPr>
          <w:rFonts w:ascii="仿宋_GB2312" w:eastAsia="仿宋_GB2312" w:hAnsi="仿宋" w:cs="Times New Roman" w:hint="eastAsia"/>
          <w:sz w:val="32"/>
          <w:szCs w:val="32"/>
        </w:rPr>
        <w:t>2</w:t>
      </w:r>
      <w:r w:rsidRPr="0006547F">
        <w:rPr>
          <w:rFonts w:ascii="仿宋_GB2312" w:eastAsia="仿宋_GB2312" w:hAnsi="仿宋" w:cs="Times New Roman" w:hint="eastAsia"/>
          <w:sz w:val="32"/>
          <w:szCs w:val="32"/>
        </w:rPr>
        <w:t>年我市本级“三公”经费预算数29</w:t>
      </w:r>
      <w:r w:rsidR="003648CE" w:rsidRPr="0006547F">
        <w:rPr>
          <w:rFonts w:ascii="仿宋_GB2312" w:eastAsia="仿宋_GB2312" w:hAnsi="仿宋" w:cs="Times New Roman" w:hint="eastAsia"/>
          <w:sz w:val="32"/>
          <w:szCs w:val="32"/>
        </w:rPr>
        <w:t>2</w:t>
      </w:r>
      <w:r w:rsidRPr="0006547F">
        <w:rPr>
          <w:rFonts w:ascii="仿宋_GB2312" w:eastAsia="仿宋_GB2312" w:hAnsi="仿宋" w:cs="Times New Roman" w:hint="eastAsia"/>
          <w:sz w:val="32"/>
          <w:szCs w:val="32"/>
        </w:rPr>
        <w:t>0万元。其中公务接待费780万元；公务用车运行维护费</w:t>
      </w:r>
      <w:r w:rsidR="000A77E1" w:rsidRPr="0006547F">
        <w:rPr>
          <w:rFonts w:ascii="仿宋_GB2312" w:eastAsia="仿宋_GB2312" w:hAnsi="仿宋" w:cs="Times New Roman" w:hint="eastAsia"/>
          <w:sz w:val="32"/>
          <w:szCs w:val="32"/>
        </w:rPr>
        <w:t>1790</w:t>
      </w:r>
      <w:r w:rsidRPr="0006547F">
        <w:rPr>
          <w:rFonts w:ascii="仿宋_GB2312" w:eastAsia="仿宋_GB2312" w:hAnsi="仿宋" w:cs="Times New Roman" w:hint="eastAsia"/>
          <w:sz w:val="32"/>
          <w:szCs w:val="32"/>
        </w:rPr>
        <w:t>万元；公务出国出境费5</w:t>
      </w:r>
      <w:r w:rsidR="003648CE" w:rsidRPr="0006547F">
        <w:rPr>
          <w:rFonts w:ascii="仿宋_GB2312" w:eastAsia="仿宋_GB2312" w:hAnsi="仿宋" w:cs="Times New Roman" w:hint="eastAsia"/>
          <w:sz w:val="32"/>
          <w:szCs w:val="32"/>
        </w:rPr>
        <w:t>0</w:t>
      </w:r>
      <w:r w:rsidRPr="0006547F">
        <w:rPr>
          <w:rFonts w:ascii="仿宋_GB2312" w:eastAsia="仿宋_GB2312" w:hAnsi="仿宋" w:cs="Times New Roman" w:hint="eastAsia"/>
          <w:sz w:val="32"/>
          <w:szCs w:val="32"/>
        </w:rPr>
        <w:t>万元；公务用车购置费</w:t>
      </w:r>
      <w:r w:rsidR="000A77E1" w:rsidRPr="0006547F">
        <w:rPr>
          <w:rFonts w:ascii="仿宋_GB2312" w:eastAsia="仿宋_GB2312" w:hAnsi="仿宋" w:cs="Times New Roman" w:hint="eastAsia"/>
          <w:sz w:val="32"/>
          <w:szCs w:val="32"/>
        </w:rPr>
        <w:t>300</w:t>
      </w:r>
      <w:r w:rsidRPr="0006547F">
        <w:rPr>
          <w:rFonts w:ascii="仿宋_GB2312" w:eastAsia="仿宋_GB2312" w:hAnsi="仿宋" w:cs="Times New Roman" w:hint="eastAsia"/>
          <w:sz w:val="32"/>
          <w:szCs w:val="32"/>
        </w:rPr>
        <w:t>万元。</w:t>
      </w:r>
    </w:p>
    <w:p w:rsidR="00F243C5" w:rsidRPr="00C623F3" w:rsidRDefault="00F93F67">
      <w:pPr>
        <w:ind w:firstLineChars="200" w:firstLine="640"/>
        <w:rPr>
          <w:rFonts w:ascii="黑体" w:eastAsia="黑体" w:hAnsi="黑体" w:cs="Times New Roman"/>
          <w:sz w:val="32"/>
          <w:szCs w:val="32"/>
        </w:rPr>
      </w:pPr>
      <w:r w:rsidRPr="00C623F3">
        <w:rPr>
          <w:rFonts w:ascii="黑体" w:eastAsia="黑体" w:hAnsi="黑体" w:cs="Times New Roman" w:hint="eastAsia"/>
          <w:sz w:val="32"/>
          <w:szCs w:val="32"/>
        </w:rPr>
        <w:t>二、</w:t>
      </w:r>
      <w:r w:rsidRPr="00C623F3">
        <w:rPr>
          <w:rFonts w:ascii="黑体" w:eastAsia="黑体" w:hAnsi="黑体" w:cs="Times New Roman"/>
          <w:sz w:val="32"/>
          <w:szCs w:val="32"/>
        </w:rPr>
        <w:t>财政转移支付安排情况说明</w:t>
      </w:r>
    </w:p>
    <w:p w:rsidR="00F243C5" w:rsidRPr="0006547F" w:rsidRDefault="00F93F67">
      <w:pPr>
        <w:ind w:firstLine="640"/>
        <w:rPr>
          <w:rFonts w:ascii="仿宋_GB2312" w:eastAsia="仿宋_GB2312" w:hAnsi="仿宋" w:cs="Times New Roman"/>
          <w:sz w:val="32"/>
          <w:szCs w:val="32"/>
        </w:rPr>
      </w:pPr>
      <w:r w:rsidRPr="0006547F">
        <w:rPr>
          <w:rFonts w:ascii="仿宋_GB2312" w:eastAsia="仿宋_GB2312" w:hAnsi="仿宋" w:cs="Times New Roman" w:hint="eastAsia"/>
          <w:sz w:val="32"/>
          <w:szCs w:val="32"/>
          <w:lang w:val="zh-CN"/>
        </w:rPr>
        <w:t>现行财政转移支付分为一般性转移支付和专项转移支付。一般性转移支付和专项转移支付各有特点。前者可以按照相关规定统筹安排和使用，后者能够体现上级政府政策导向，便于监督检查。</w:t>
      </w:r>
    </w:p>
    <w:p w:rsidR="00F243C5" w:rsidRPr="0006547F" w:rsidRDefault="00F93F67">
      <w:pPr>
        <w:ind w:firstLine="640"/>
        <w:rPr>
          <w:rFonts w:ascii="仿宋_GB2312" w:eastAsia="仿宋_GB2312" w:hAnsi="仿宋" w:cs="Times New Roman"/>
          <w:sz w:val="32"/>
          <w:szCs w:val="32"/>
        </w:rPr>
      </w:pPr>
      <w:r w:rsidRPr="0006547F">
        <w:rPr>
          <w:rFonts w:ascii="仿宋_GB2312" w:eastAsia="仿宋_GB2312" w:hAnsi="仿宋" w:cs="Times New Roman" w:hint="eastAsia"/>
          <w:sz w:val="32"/>
          <w:szCs w:val="32"/>
          <w:lang w:val="zh-CN"/>
        </w:rPr>
        <w:t xml:space="preserve"> 一般性转移支付主要包括均衡性转移支付、县级基本财力保障</w:t>
      </w:r>
      <w:proofErr w:type="gramStart"/>
      <w:r w:rsidRPr="0006547F">
        <w:rPr>
          <w:rFonts w:ascii="仿宋_GB2312" w:eastAsia="仿宋_GB2312" w:hAnsi="仿宋" w:cs="Times New Roman" w:hint="eastAsia"/>
          <w:sz w:val="32"/>
          <w:szCs w:val="32"/>
          <w:lang w:val="zh-CN"/>
        </w:rPr>
        <w:t>机制奖补</w:t>
      </w:r>
      <w:proofErr w:type="gramEnd"/>
      <w:r w:rsidRPr="0006547F">
        <w:rPr>
          <w:rFonts w:ascii="仿宋_GB2312" w:eastAsia="仿宋_GB2312" w:hAnsi="仿宋" w:cs="Times New Roman" w:hint="eastAsia"/>
          <w:sz w:val="32"/>
          <w:szCs w:val="32"/>
          <w:lang w:val="zh-CN"/>
        </w:rPr>
        <w:t>资金、基层公检法</w:t>
      </w:r>
      <w:proofErr w:type="gramStart"/>
      <w:r w:rsidRPr="0006547F">
        <w:rPr>
          <w:rFonts w:ascii="仿宋_GB2312" w:eastAsia="仿宋_GB2312" w:hAnsi="仿宋" w:cs="Times New Roman" w:hint="eastAsia"/>
          <w:sz w:val="32"/>
          <w:szCs w:val="32"/>
          <w:lang w:val="zh-CN"/>
        </w:rPr>
        <w:t>司转移</w:t>
      </w:r>
      <w:proofErr w:type="gramEnd"/>
      <w:r w:rsidRPr="0006547F">
        <w:rPr>
          <w:rFonts w:ascii="仿宋_GB2312" w:eastAsia="仿宋_GB2312" w:hAnsi="仿宋" w:cs="Times New Roman" w:hint="eastAsia"/>
          <w:sz w:val="32"/>
          <w:szCs w:val="32"/>
          <w:lang w:val="zh-CN"/>
        </w:rPr>
        <w:t>支付、城乡义务教育转移支付、基本养老金转移支付、城乡居民医疗保险转移支付、农村综合改革转移支付、产粮（油）大县奖励资金、重点生态功能区转移支付、固定数额补助等。</w:t>
      </w:r>
    </w:p>
    <w:p w:rsidR="00F243C5" w:rsidRPr="0006547F" w:rsidRDefault="00F93F67">
      <w:pPr>
        <w:ind w:firstLine="640"/>
        <w:rPr>
          <w:rFonts w:ascii="仿宋_GB2312" w:eastAsia="仿宋_GB2312" w:hAnsi="仿宋" w:cs="Times New Roman"/>
          <w:sz w:val="32"/>
          <w:szCs w:val="32"/>
        </w:rPr>
      </w:pPr>
      <w:r w:rsidRPr="0006547F">
        <w:rPr>
          <w:rFonts w:ascii="仿宋_GB2312" w:eastAsia="仿宋_GB2312" w:hAnsi="仿宋" w:cs="Times New Roman" w:hint="eastAsia"/>
          <w:sz w:val="32"/>
          <w:szCs w:val="32"/>
          <w:lang w:val="zh-CN"/>
        </w:rPr>
        <w:lastRenderedPageBreak/>
        <w:t>专项转移支付主要是根据党中央、国务院和省委、省政府确定的政策，按照集中资金、突出重点、专款专用的要求，重点用于农林水、教育、医疗卫生、社会保障和就业、交通运输、节能环保等领域。</w:t>
      </w:r>
    </w:p>
    <w:p w:rsidR="00F243C5" w:rsidRPr="000C2B9A" w:rsidRDefault="00F93F67">
      <w:pPr>
        <w:ind w:firstLine="640"/>
        <w:rPr>
          <w:rFonts w:ascii="仿宋_GB2312" w:eastAsia="仿宋_GB2312" w:hAnsi="Times New Roman" w:cs="Times New Roman"/>
          <w:sz w:val="32"/>
          <w:szCs w:val="32"/>
        </w:rPr>
      </w:pPr>
      <w:r w:rsidRPr="000C2B9A">
        <w:rPr>
          <w:rFonts w:ascii="仿宋_GB2312" w:eastAsia="仿宋_GB2312" w:hAnsi="Times New Roman" w:cs="Times New Roman" w:hint="eastAsia"/>
          <w:sz w:val="32"/>
          <w:szCs w:val="32"/>
        </w:rPr>
        <w:t>202</w:t>
      </w:r>
      <w:r w:rsidR="002F3C5D" w:rsidRPr="000C2B9A">
        <w:rPr>
          <w:rFonts w:ascii="仿宋_GB2312" w:eastAsia="仿宋_GB2312" w:hAnsi="Times New Roman" w:cs="Times New Roman" w:hint="eastAsia"/>
          <w:sz w:val="32"/>
          <w:szCs w:val="32"/>
        </w:rPr>
        <w:t>1</w:t>
      </w:r>
      <w:r w:rsidRPr="000C2B9A">
        <w:rPr>
          <w:rFonts w:ascii="仿宋_GB2312" w:eastAsia="仿宋_GB2312" w:hAnsi="Times New Roman" w:cs="Times New Roman" w:hint="eastAsia"/>
          <w:sz w:val="32"/>
          <w:szCs w:val="32"/>
        </w:rPr>
        <w:t>年，中央和省对我市共下达转移支付资金</w:t>
      </w:r>
      <w:r w:rsidR="0013326C" w:rsidRPr="000C2B9A">
        <w:rPr>
          <w:rFonts w:ascii="仿宋_GB2312" w:eastAsia="仿宋_GB2312" w:hAnsi="Times New Roman" w:cs="Times New Roman" w:hint="eastAsia"/>
          <w:sz w:val="32"/>
          <w:szCs w:val="32"/>
        </w:rPr>
        <w:t>185.5</w:t>
      </w:r>
      <w:r w:rsidRPr="000C2B9A">
        <w:rPr>
          <w:rFonts w:ascii="仿宋_GB2312" w:eastAsia="仿宋_GB2312" w:hAnsi="Times New Roman" w:cs="Times New Roman" w:hint="eastAsia"/>
          <w:sz w:val="32"/>
          <w:szCs w:val="32"/>
        </w:rPr>
        <w:t>亿元，</w:t>
      </w:r>
      <w:r w:rsidR="0013326C" w:rsidRPr="000C2B9A">
        <w:rPr>
          <w:rFonts w:ascii="仿宋_GB2312" w:eastAsia="仿宋_GB2312" w:hAnsi="Times New Roman" w:cs="Times New Roman" w:hint="eastAsia"/>
          <w:sz w:val="32"/>
          <w:szCs w:val="32"/>
        </w:rPr>
        <w:t>降低2.83</w:t>
      </w:r>
      <w:r w:rsidRPr="000C2B9A">
        <w:rPr>
          <w:rFonts w:ascii="仿宋_GB2312" w:eastAsia="仿宋_GB2312" w:hAnsi="Times New Roman" w:cs="Times New Roman" w:hint="eastAsia"/>
          <w:sz w:val="32"/>
          <w:szCs w:val="32"/>
        </w:rPr>
        <w:t>%。其中：一般性转移支付</w:t>
      </w:r>
      <w:r w:rsidR="0013326C" w:rsidRPr="000C2B9A">
        <w:rPr>
          <w:rFonts w:ascii="仿宋_GB2312" w:eastAsia="仿宋_GB2312" w:hAnsi="Times New Roman" w:cs="Times New Roman" w:hint="eastAsia"/>
          <w:sz w:val="32"/>
          <w:szCs w:val="32"/>
        </w:rPr>
        <w:t>155.87</w:t>
      </w:r>
      <w:r w:rsidRPr="000C2B9A">
        <w:rPr>
          <w:rFonts w:ascii="仿宋_GB2312" w:eastAsia="仿宋_GB2312" w:hAnsi="Times New Roman" w:cs="Times New Roman" w:hint="eastAsia"/>
          <w:sz w:val="32"/>
          <w:szCs w:val="32"/>
        </w:rPr>
        <w:t>亿元，专项转移支付</w:t>
      </w:r>
      <w:r w:rsidR="0013326C" w:rsidRPr="000C2B9A">
        <w:rPr>
          <w:rFonts w:ascii="仿宋_GB2312" w:eastAsia="仿宋_GB2312" w:hAnsi="Times New Roman" w:cs="Times New Roman" w:hint="eastAsia"/>
          <w:sz w:val="32"/>
          <w:szCs w:val="32"/>
        </w:rPr>
        <w:t>27.84</w:t>
      </w:r>
      <w:r w:rsidRPr="000C2B9A">
        <w:rPr>
          <w:rFonts w:ascii="仿宋_GB2312" w:eastAsia="仿宋_GB2312" w:hAnsi="Times New Roman" w:cs="Times New Roman" w:hint="eastAsia"/>
          <w:sz w:val="32"/>
          <w:szCs w:val="32"/>
        </w:rPr>
        <w:t>亿元</w:t>
      </w:r>
      <w:bookmarkStart w:id="0" w:name="OLE_LINK5"/>
      <w:r w:rsidRPr="000C2B9A">
        <w:rPr>
          <w:rFonts w:ascii="仿宋_GB2312" w:eastAsia="仿宋_GB2312" w:hAnsi="Times New Roman" w:cs="Times New Roman" w:hint="eastAsia"/>
          <w:sz w:val="32"/>
          <w:szCs w:val="32"/>
          <w:lang w:val="zh-CN"/>
        </w:rPr>
        <w:t>，一般性转移支付占全部转移支付</w:t>
      </w:r>
      <w:r w:rsidRPr="000C2B9A">
        <w:rPr>
          <w:rFonts w:ascii="仿宋_GB2312" w:eastAsia="仿宋_GB2312" w:hAnsi="Times New Roman" w:cs="Times New Roman" w:hint="eastAsia"/>
          <w:sz w:val="32"/>
          <w:szCs w:val="32"/>
        </w:rPr>
        <w:t>比重达到84.</w:t>
      </w:r>
      <w:r w:rsidR="0013326C" w:rsidRPr="000C2B9A">
        <w:rPr>
          <w:rFonts w:ascii="仿宋_GB2312" w:eastAsia="仿宋_GB2312" w:hAnsi="Times New Roman" w:cs="Times New Roman" w:hint="eastAsia"/>
          <w:sz w:val="32"/>
          <w:szCs w:val="32"/>
        </w:rPr>
        <w:t>03</w:t>
      </w:r>
      <w:r w:rsidRPr="000C2B9A">
        <w:rPr>
          <w:rFonts w:ascii="仿宋_GB2312" w:eastAsia="仿宋_GB2312" w:hAnsi="Times New Roman" w:cs="Times New Roman" w:hint="eastAsia"/>
          <w:sz w:val="32"/>
          <w:szCs w:val="32"/>
        </w:rPr>
        <w:t>%。</w:t>
      </w:r>
      <w:bookmarkEnd w:id="0"/>
    </w:p>
    <w:p w:rsidR="00D647FE" w:rsidRPr="00D647FE" w:rsidRDefault="00D647FE">
      <w:pPr>
        <w:ind w:firstLineChars="200" w:firstLine="640"/>
        <w:rPr>
          <w:rFonts w:ascii="黑体" w:eastAsia="黑体" w:hAnsi="黑体"/>
          <w:sz w:val="32"/>
          <w:szCs w:val="32"/>
        </w:rPr>
      </w:pPr>
      <w:r w:rsidRPr="00D647FE">
        <w:rPr>
          <w:rFonts w:ascii="黑体" w:eastAsia="黑体" w:hAnsi="黑体" w:hint="eastAsia"/>
          <w:sz w:val="32"/>
          <w:szCs w:val="32"/>
        </w:rPr>
        <w:t>三、举借债务情况说明</w:t>
      </w:r>
    </w:p>
    <w:p w:rsidR="00F243C5" w:rsidRPr="005752F4" w:rsidRDefault="003D7D83">
      <w:pPr>
        <w:ind w:firstLineChars="200" w:firstLine="640"/>
        <w:rPr>
          <w:rFonts w:ascii="仿宋_GB2312" w:eastAsia="仿宋_GB2312" w:hAnsi="仿宋_GB2312" w:cs="仿宋_GB2312"/>
          <w:sz w:val="32"/>
          <w:szCs w:val="32"/>
          <w:highlight w:val="yellow"/>
        </w:rPr>
      </w:pPr>
      <w:r w:rsidRPr="005752F4">
        <w:rPr>
          <w:rFonts w:ascii="仿宋_GB2312" w:eastAsia="仿宋_GB2312" w:hint="eastAsia"/>
          <w:sz w:val="32"/>
          <w:szCs w:val="32"/>
        </w:rPr>
        <w:t>我市坚决贯彻落实中央和省委省政府、市委市政府各项决策部署，将防范化解政府债务风险</w:t>
      </w:r>
      <w:proofErr w:type="gramStart"/>
      <w:r w:rsidRPr="005752F4">
        <w:rPr>
          <w:rFonts w:ascii="仿宋_GB2312" w:eastAsia="仿宋_GB2312" w:hint="eastAsia"/>
          <w:sz w:val="32"/>
          <w:szCs w:val="32"/>
        </w:rPr>
        <w:t>当做</w:t>
      </w:r>
      <w:proofErr w:type="gramEnd"/>
      <w:r w:rsidRPr="005752F4">
        <w:rPr>
          <w:rFonts w:ascii="仿宋_GB2312" w:eastAsia="仿宋_GB2312" w:hint="eastAsia"/>
          <w:sz w:val="32"/>
          <w:szCs w:val="32"/>
        </w:rPr>
        <w:t>头等大事来抓，统筹发展与安全两方面关系，</w:t>
      </w:r>
      <w:r w:rsidRPr="005752F4">
        <w:rPr>
          <w:rStyle w:val="15"/>
          <w:rFonts w:ascii="仿宋_GB2312" w:eastAsia="仿宋_GB2312" w:hint="eastAsia"/>
          <w:b w:val="0"/>
          <w:bCs w:val="0"/>
          <w:sz w:val="32"/>
          <w:szCs w:val="32"/>
        </w:rPr>
        <w:t>紧跟政策导向，聚焦重点领域，用好政府债务资金，推动我市高质量转型发展。构建常态化机制，加强政府债务管理，防范化解政府债务风险，牢牢守住了不发生区域性系统性风险的底线，助力推动我市高质量转型发展。</w:t>
      </w:r>
    </w:p>
    <w:p w:rsidR="00F243C5" w:rsidRPr="005752F4" w:rsidRDefault="003D7D83">
      <w:pPr>
        <w:ind w:firstLineChars="200" w:firstLine="640"/>
        <w:rPr>
          <w:rFonts w:ascii="仿宋_GB2312" w:eastAsia="仿宋_GB2312" w:hAnsi="Times New Roman" w:cs="Times New Roman"/>
          <w:kern w:val="0"/>
          <w:sz w:val="32"/>
          <w:highlight w:val="yellow"/>
        </w:rPr>
      </w:pPr>
      <w:r w:rsidRPr="005752F4">
        <w:rPr>
          <w:rFonts w:ascii="仿宋_GB2312" w:eastAsia="仿宋_GB2312" w:hint="eastAsia"/>
          <w:sz w:val="32"/>
          <w:szCs w:val="32"/>
        </w:rPr>
        <w:t>截至2021年底，全市政府债务余额</w:t>
      </w:r>
      <w:r w:rsidRPr="005752F4">
        <w:rPr>
          <w:rFonts w:ascii="仿宋_GB2312" w:eastAsia="仿宋_GB2312" w:hint="eastAsia"/>
          <w:kern w:val="0"/>
          <w:sz w:val="32"/>
          <w:szCs w:val="32"/>
        </w:rPr>
        <w:t>301.48</w:t>
      </w:r>
      <w:r w:rsidRPr="005752F4">
        <w:rPr>
          <w:rFonts w:ascii="仿宋_GB2312" w:eastAsia="仿宋_GB2312" w:hint="eastAsia"/>
          <w:sz w:val="32"/>
          <w:szCs w:val="32"/>
        </w:rPr>
        <w:t>亿元，</w:t>
      </w:r>
      <w:r w:rsidR="00F93F67" w:rsidRPr="005752F4">
        <w:rPr>
          <w:rFonts w:ascii="仿宋_GB2312" w:eastAsia="仿宋_GB2312" w:hAnsi="Times New Roman" w:cs="Times New Roman" w:hint="eastAsia"/>
          <w:kern w:val="0"/>
          <w:sz w:val="32"/>
        </w:rPr>
        <w:t>其中：一</w:t>
      </w:r>
      <w:r w:rsidR="00F93F67" w:rsidRPr="005752F4">
        <w:rPr>
          <w:rStyle w:val="15"/>
          <w:rFonts w:ascii="仿宋_GB2312" w:eastAsia="仿宋_GB2312" w:hint="eastAsia"/>
          <w:b w:val="0"/>
          <w:bCs w:val="0"/>
          <w:sz w:val="32"/>
          <w:szCs w:val="32"/>
        </w:rPr>
        <w:t>般债务余额</w:t>
      </w:r>
      <w:r w:rsidR="005752F4" w:rsidRPr="005752F4">
        <w:rPr>
          <w:rStyle w:val="15"/>
          <w:rFonts w:ascii="仿宋_GB2312" w:eastAsia="仿宋_GB2312" w:hint="eastAsia"/>
          <w:b w:val="0"/>
          <w:bCs w:val="0"/>
          <w:sz w:val="32"/>
          <w:szCs w:val="32"/>
        </w:rPr>
        <w:t>159.28</w:t>
      </w:r>
      <w:r w:rsidR="00F93F67" w:rsidRPr="005752F4">
        <w:rPr>
          <w:rStyle w:val="15"/>
          <w:rFonts w:ascii="仿宋_GB2312" w:eastAsia="仿宋_GB2312" w:hint="eastAsia"/>
          <w:b w:val="0"/>
          <w:bCs w:val="0"/>
          <w:sz w:val="32"/>
          <w:szCs w:val="32"/>
        </w:rPr>
        <w:t>亿元，专项债务余额</w:t>
      </w:r>
      <w:r w:rsidR="005752F4" w:rsidRPr="005752F4">
        <w:rPr>
          <w:rStyle w:val="15"/>
          <w:rFonts w:ascii="仿宋_GB2312" w:eastAsia="仿宋_GB2312" w:hint="eastAsia"/>
          <w:b w:val="0"/>
          <w:bCs w:val="0"/>
          <w:sz w:val="32"/>
          <w:szCs w:val="32"/>
        </w:rPr>
        <w:t>142.2</w:t>
      </w:r>
      <w:r w:rsidR="00F93F67" w:rsidRPr="005752F4">
        <w:rPr>
          <w:rStyle w:val="15"/>
          <w:rFonts w:ascii="仿宋_GB2312" w:eastAsia="仿宋_GB2312" w:hint="eastAsia"/>
          <w:b w:val="0"/>
          <w:bCs w:val="0"/>
          <w:sz w:val="32"/>
          <w:szCs w:val="32"/>
        </w:rPr>
        <w:t>亿元</w:t>
      </w:r>
      <w:r w:rsidR="00F93F67" w:rsidRPr="005752F4">
        <w:rPr>
          <w:rStyle w:val="15"/>
          <w:rFonts w:ascii="仿宋_GB2312" w:eastAsia="仿宋_GB2312" w:hint="eastAsia"/>
          <w:b w:val="0"/>
          <w:szCs w:val="32"/>
        </w:rPr>
        <w:t>。</w:t>
      </w:r>
      <w:r w:rsidR="00F93F67" w:rsidRPr="005752F4">
        <w:rPr>
          <w:rStyle w:val="15"/>
          <w:rFonts w:ascii="仿宋_GB2312" w:eastAsia="仿宋_GB2312" w:hint="eastAsia"/>
          <w:b w:val="0"/>
          <w:sz w:val="32"/>
          <w:szCs w:val="32"/>
        </w:rPr>
        <w:t>分</w:t>
      </w:r>
      <w:r w:rsidR="00F93F67" w:rsidRPr="005752F4">
        <w:rPr>
          <w:rFonts w:ascii="仿宋_GB2312" w:eastAsia="仿宋_GB2312" w:hAnsi="Times New Roman" w:cs="Times New Roman" w:hint="eastAsia"/>
          <w:kern w:val="0"/>
          <w:sz w:val="32"/>
        </w:rPr>
        <w:t>级次看：</w:t>
      </w:r>
      <w:r w:rsidRPr="005752F4">
        <w:rPr>
          <w:rFonts w:ascii="仿宋_GB2312" w:eastAsia="仿宋_GB2312" w:hAnsi="楷体_GB2312" w:cs="楷体_GB2312" w:hint="eastAsia"/>
          <w:kern w:val="0"/>
          <w:sz w:val="32"/>
          <w:szCs w:val="32"/>
        </w:rPr>
        <w:t>市本级（含高新区和经开区）政府债务余额192.55亿元，占全市政府债务的63.87%；12个县区政府债务余额108.92亿元，占全市政府债务的36.13%。</w:t>
      </w:r>
    </w:p>
    <w:p w:rsidR="00F243C5" w:rsidRPr="005752F4" w:rsidRDefault="00F93F67">
      <w:pPr>
        <w:ind w:firstLineChars="200" w:firstLine="640"/>
        <w:rPr>
          <w:rFonts w:ascii="Times New Roman" w:eastAsia="仿宋_GB2312" w:hAnsi="Times New Roman" w:cs="Times New Roman"/>
          <w:kern w:val="0"/>
          <w:sz w:val="32"/>
        </w:rPr>
      </w:pPr>
      <w:r w:rsidRPr="005752F4">
        <w:rPr>
          <w:rFonts w:ascii="Times New Roman" w:eastAsia="仿宋_GB2312" w:hAnsi="Times New Roman" w:cs="Times New Roman" w:hint="eastAsia"/>
          <w:kern w:val="0"/>
          <w:sz w:val="32"/>
        </w:rPr>
        <w:t>截</w:t>
      </w:r>
      <w:r w:rsidR="005752F4" w:rsidRPr="005752F4">
        <w:rPr>
          <w:rFonts w:ascii="Times New Roman" w:eastAsia="仿宋_GB2312" w:hAnsi="Times New Roman" w:cs="Times New Roman" w:hint="eastAsia"/>
          <w:kern w:val="0"/>
          <w:sz w:val="32"/>
        </w:rPr>
        <w:t>至</w:t>
      </w:r>
      <w:r w:rsidRPr="005752F4">
        <w:rPr>
          <w:rFonts w:ascii="Times New Roman" w:eastAsia="仿宋_GB2312" w:hAnsi="Times New Roman" w:cs="Times New Roman" w:hint="eastAsia"/>
          <w:kern w:val="0"/>
          <w:sz w:val="32"/>
        </w:rPr>
        <w:t>202</w:t>
      </w:r>
      <w:r w:rsidR="005752F4" w:rsidRPr="005752F4">
        <w:rPr>
          <w:rFonts w:ascii="Times New Roman" w:eastAsia="仿宋_GB2312" w:hAnsi="Times New Roman" w:cs="Times New Roman" w:hint="eastAsia"/>
          <w:kern w:val="0"/>
          <w:sz w:val="32"/>
        </w:rPr>
        <w:t>1</w:t>
      </w:r>
      <w:r w:rsidRPr="005752F4">
        <w:rPr>
          <w:rFonts w:ascii="Times New Roman" w:eastAsia="仿宋_GB2312" w:hAnsi="Times New Roman" w:cs="Times New Roman" w:hint="eastAsia"/>
          <w:kern w:val="0"/>
          <w:sz w:val="32"/>
        </w:rPr>
        <w:t>年底，</w:t>
      </w:r>
      <w:r w:rsidRPr="005752F4">
        <w:rPr>
          <w:rFonts w:ascii="Times New Roman" w:eastAsia="仿宋_GB2312" w:hAnsi="Times New Roman" w:cs="Times New Roman"/>
          <w:kern w:val="0"/>
          <w:sz w:val="32"/>
        </w:rPr>
        <w:t>全市政府性债务限额</w:t>
      </w:r>
      <w:r w:rsidR="005752F4" w:rsidRPr="005752F4">
        <w:rPr>
          <w:rFonts w:ascii="Times New Roman" w:eastAsia="仿宋_GB2312" w:hAnsi="Times New Roman" w:cs="Times New Roman" w:hint="eastAsia"/>
          <w:kern w:val="0"/>
          <w:sz w:val="32"/>
        </w:rPr>
        <w:t>308.51</w:t>
      </w:r>
      <w:r w:rsidRPr="005752F4">
        <w:rPr>
          <w:rFonts w:ascii="Times New Roman" w:eastAsia="仿宋_GB2312" w:hAnsi="Times New Roman" w:cs="Times New Roman"/>
          <w:kern w:val="0"/>
          <w:sz w:val="32"/>
        </w:rPr>
        <w:t>亿元，</w:t>
      </w:r>
      <w:r w:rsidRPr="005752F4">
        <w:rPr>
          <w:rFonts w:ascii="Times New Roman" w:eastAsia="仿宋_GB2312" w:hAnsi="Times New Roman" w:cs="Times New Roman" w:hint="eastAsia"/>
          <w:kern w:val="0"/>
          <w:sz w:val="32"/>
        </w:rPr>
        <w:t>债务空</w:t>
      </w:r>
      <w:r w:rsidRPr="005752F4">
        <w:rPr>
          <w:rFonts w:ascii="Times New Roman" w:eastAsia="仿宋_GB2312" w:hAnsi="Times New Roman" w:cs="Times New Roman" w:hint="eastAsia"/>
          <w:kern w:val="0"/>
          <w:sz w:val="32"/>
        </w:rPr>
        <w:lastRenderedPageBreak/>
        <w:t>间</w:t>
      </w:r>
      <w:r w:rsidR="005752F4" w:rsidRPr="005752F4">
        <w:rPr>
          <w:rFonts w:ascii="Times New Roman" w:eastAsia="仿宋_GB2312" w:hAnsi="Times New Roman" w:cs="Times New Roman" w:hint="eastAsia"/>
          <w:kern w:val="0"/>
          <w:sz w:val="32"/>
        </w:rPr>
        <w:t>7.03</w:t>
      </w:r>
      <w:r w:rsidRPr="005752F4">
        <w:rPr>
          <w:rFonts w:ascii="Times New Roman" w:eastAsia="仿宋_GB2312" w:hAnsi="Times New Roman" w:cs="Times New Roman" w:hint="eastAsia"/>
          <w:kern w:val="0"/>
          <w:sz w:val="32"/>
        </w:rPr>
        <w:t>亿元（债务空间</w:t>
      </w:r>
      <w:r w:rsidRPr="005752F4">
        <w:rPr>
          <w:rFonts w:ascii="Times New Roman" w:eastAsia="仿宋_GB2312" w:hAnsi="Times New Roman" w:cs="Times New Roman" w:hint="eastAsia"/>
          <w:kern w:val="0"/>
          <w:sz w:val="32"/>
        </w:rPr>
        <w:t>=</w:t>
      </w:r>
      <w:r w:rsidRPr="005752F4">
        <w:rPr>
          <w:rFonts w:ascii="Times New Roman" w:eastAsia="仿宋_GB2312" w:hAnsi="Times New Roman" w:cs="Times New Roman" w:hint="eastAsia"/>
          <w:kern w:val="0"/>
          <w:sz w:val="32"/>
        </w:rPr>
        <w:t>债务限额</w:t>
      </w:r>
      <w:r w:rsidRPr="005752F4">
        <w:rPr>
          <w:rFonts w:ascii="Times New Roman" w:eastAsia="仿宋_GB2312" w:hAnsi="Times New Roman" w:cs="Times New Roman" w:hint="eastAsia"/>
          <w:kern w:val="0"/>
          <w:sz w:val="32"/>
        </w:rPr>
        <w:t>-</w:t>
      </w:r>
      <w:r w:rsidRPr="005752F4">
        <w:rPr>
          <w:rFonts w:ascii="Times New Roman" w:eastAsia="仿宋_GB2312" w:hAnsi="Times New Roman" w:cs="Times New Roman" w:hint="eastAsia"/>
          <w:kern w:val="0"/>
          <w:sz w:val="32"/>
        </w:rPr>
        <w:t>债务余额）。</w:t>
      </w:r>
      <w:r w:rsidRPr="005752F4">
        <w:rPr>
          <w:rFonts w:ascii="Times New Roman" w:eastAsia="仿宋_GB2312" w:hAnsi="Times New Roman" w:cs="Times New Roman"/>
          <w:kern w:val="0"/>
          <w:sz w:val="32"/>
        </w:rPr>
        <w:t>其中：一般债务</w:t>
      </w:r>
      <w:r w:rsidRPr="005752F4">
        <w:rPr>
          <w:rFonts w:ascii="Times New Roman" w:eastAsia="仿宋_GB2312" w:hAnsi="Times New Roman" w:cs="Times New Roman" w:hint="eastAsia"/>
          <w:kern w:val="0"/>
          <w:sz w:val="32"/>
        </w:rPr>
        <w:t>限额</w:t>
      </w:r>
      <w:r w:rsidR="005752F4" w:rsidRPr="005752F4">
        <w:rPr>
          <w:rFonts w:ascii="Times New Roman" w:eastAsia="仿宋_GB2312" w:hAnsi="Times New Roman" w:cs="Times New Roman" w:hint="eastAsia"/>
          <w:kern w:val="0"/>
          <w:sz w:val="32"/>
        </w:rPr>
        <w:t>160.89</w:t>
      </w:r>
      <w:r w:rsidRPr="005752F4">
        <w:rPr>
          <w:rFonts w:ascii="Times New Roman" w:eastAsia="仿宋_GB2312" w:hAnsi="Times New Roman" w:cs="Times New Roman"/>
          <w:kern w:val="0"/>
          <w:sz w:val="32"/>
        </w:rPr>
        <w:t>亿元，专项债务</w:t>
      </w:r>
      <w:r w:rsidRPr="005752F4">
        <w:rPr>
          <w:rFonts w:ascii="Times New Roman" w:eastAsia="仿宋_GB2312" w:hAnsi="Times New Roman" w:cs="Times New Roman" w:hint="eastAsia"/>
          <w:kern w:val="0"/>
          <w:sz w:val="32"/>
        </w:rPr>
        <w:t>限额</w:t>
      </w:r>
      <w:r w:rsidR="005752F4" w:rsidRPr="005752F4">
        <w:rPr>
          <w:rFonts w:ascii="Times New Roman" w:eastAsia="仿宋_GB2312" w:hAnsi="Times New Roman" w:cs="Times New Roman" w:hint="eastAsia"/>
          <w:kern w:val="0"/>
          <w:sz w:val="32"/>
        </w:rPr>
        <w:t>147.61</w:t>
      </w:r>
      <w:r w:rsidRPr="005752F4">
        <w:rPr>
          <w:rFonts w:ascii="Times New Roman" w:eastAsia="仿宋_GB2312" w:hAnsi="Times New Roman" w:cs="Times New Roman"/>
          <w:kern w:val="0"/>
          <w:sz w:val="32"/>
        </w:rPr>
        <w:t>亿元。分级次看：市本级</w:t>
      </w:r>
      <w:r w:rsidRPr="005752F4">
        <w:rPr>
          <w:rFonts w:ascii="Times New Roman" w:eastAsia="仿宋_GB2312" w:hAnsi="Times New Roman" w:cs="Times New Roman" w:hint="eastAsia"/>
          <w:kern w:val="0"/>
          <w:sz w:val="32"/>
        </w:rPr>
        <w:t>（含高新区和经开区）</w:t>
      </w:r>
      <w:r w:rsidR="005752F4" w:rsidRPr="005752F4">
        <w:rPr>
          <w:rFonts w:ascii="Times New Roman" w:eastAsia="仿宋_GB2312" w:hAnsi="Times New Roman" w:cs="Times New Roman" w:hint="eastAsia"/>
          <w:kern w:val="0"/>
          <w:sz w:val="32"/>
        </w:rPr>
        <w:t>197.28</w:t>
      </w:r>
      <w:r w:rsidRPr="005752F4">
        <w:rPr>
          <w:rFonts w:ascii="Times New Roman" w:eastAsia="仿宋_GB2312" w:hAnsi="Times New Roman" w:cs="Times New Roman"/>
          <w:kern w:val="0"/>
          <w:sz w:val="32"/>
        </w:rPr>
        <w:t>亿元，占全市政府债务</w:t>
      </w:r>
      <w:r w:rsidRPr="005752F4">
        <w:rPr>
          <w:rFonts w:ascii="Times New Roman" w:eastAsia="仿宋_GB2312" w:hAnsi="Times New Roman" w:cs="Times New Roman" w:hint="eastAsia"/>
          <w:kern w:val="0"/>
          <w:sz w:val="32"/>
        </w:rPr>
        <w:t>限额</w:t>
      </w:r>
      <w:r w:rsidRPr="005752F4">
        <w:rPr>
          <w:rFonts w:ascii="Times New Roman" w:eastAsia="仿宋_GB2312" w:hAnsi="Times New Roman" w:cs="Times New Roman"/>
          <w:kern w:val="0"/>
          <w:sz w:val="32"/>
        </w:rPr>
        <w:t>的</w:t>
      </w:r>
      <w:r w:rsidR="005752F4" w:rsidRPr="005752F4">
        <w:rPr>
          <w:rFonts w:ascii="Times New Roman" w:eastAsia="仿宋_GB2312" w:hAnsi="Times New Roman" w:cs="Times New Roman" w:hint="eastAsia"/>
          <w:kern w:val="0"/>
          <w:sz w:val="32"/>
        </w:rPr>
        <w:t>63.95</w:t>
      </w:r>
      <w:r w:rsidRPr="005752F4">
        <w:rPr>
          <w:rFonts w:ascii="Times New Roman" w:eastAsia="仿宋_GB2312" w:hAnsi="Times New Roman" w:cs="Times New Roman"/>
          <w:kern w:val="0"/>
          <w:sz w:val="32"/>
        </w:rPr>
        <w:t>%</w:t>
      </w:r>
      <w:r w:rsidRPr="005752F4">
        <w:rPr>
          <w:rFonts w:ascii="Times New Roman" w:eastAsia="仿宋_GB2312" w:hAnsi="Times New Roman" w:cs="Times New Roman"/>
          <w:kern w:val="0"/>
          <w:sz w:val="32"/>
        </w:rPr>
        <w:t>；</w:t>
      </w:r>
      <w:r w:rsidRPr="005752F4">
        <w:rPr>
          <w:rFonts w:ascii="Times New Roman" w:eastAsia="仿宋_GB2312" w:hAnsi="Times New Roman" w:cs="Times New Roman"/>
          <w:kern w:val="0"/>
          <w:sz w:val="32"/>
        </w:rPr>
        <w:t>1</w:t>
      </w:r>
      <w:r w:rsidRPr="005752F4">
        <w:rPr>
          <w:rFonts w:ascii="Times New Roman" w:eastAsia="仿宋_GB2312" w:hAnsi="Times New Roman" w:cs="Times New Roman" w:hint="eastAsia"/>
          <w:kern w:val="0"/>
          <w:sz w:val="32"/>
        </w:rPr>
        <w:t>2</w:t>
      </w:r>
      <w:r w:rsidRPr="005752F4">
        <w:rPr>
          <w:rFonts w:ascii="Times New Roman" w:eastAsia="仿宋_GB2312" w:hAnsi="Times New Roman" w:cs="Times New Roman"/>
          <w:kern w:val="0"/>
          <w:sz w:val="32"/>
        </w:rPr>
        <w:t>个县区政府债务</w:t>
      </w:r>
      <w:r w:rsidRPr="005752F4">
        <w:rPr>
          <w:rFonts w:ascii="Times New Roman" w:eastAsia="仿宋_GB2312" w:hAnsi="Times New Roman" w:cs="Times New Roman" w:hint="eastAsia"/>
          <w:kern w:val="0"/>
          <w:sz w:val="32"/>
        </w:rPr>
        <w:t>限额</w:t>
      </w:r>
      <w:r w:rsidR="005752F4" w:rsidRPr="005752F4">
        <w:rPr>
          <w:rFonts w:ascii="Times New Roman" w:eastAsia="仿宋_GB2312" w:hAnsi="Times New Roman" w:cs="Times New Roman" w:hint="eastAsia"/>
          <w:kern w:val="0"/>
          <w:sz w:val="32"/>
        </w:rPr>
        <w:t>111.23</w:t>
      </w:r>
      <w:r w:rsidRPr="005752F4">
        <w:rPr>
          <w:rFonts w:ascii="Times New Roman" w:eastAsia="仿宋_GB2312" w:hAnsi="Times New Roman" w:cs="Times New Roman"/>
          <w:kern w:val="0"/>
          <w:sz w:val="32"/>
        </w:rPr>
        <w:t>亿元，占全市政府债务</w:t>
      </w:r>
      <w:r w:rsidRPr="005752F4">
        <w:rPr>
          <w:rFonts w:ascii="Times New Roman" w:eastAsia="仿宋_GB2312" w:hAnsi="Times New Roman" w:cs="Times New Roman" w:hint="eastAsia"/>
          <w:kern w:val="0"/>
          <w:sz w:val="32"/>
        </w:rPr>
        <w:t>限额</w:t>
      </w:r>
      <w:r w:rsidRPr="005752F4">
        <w:rPr>
          <w:rFonts w:ascii="Times New Roman" w:eastAsia="仿宋_GB2312" w:hAnsi="Times New Roman" w:cs="Times New Roman"/>
          <w:kern w:val="0"/>
          <w:sz w:val="32"/>
        </w:rPr>
        <w:t>的</w:t>
      </w:r>
      <w:r w:rsidR="005752F4" w:rsidRPr="005752F4">
        <w:rPr>
          <w:rFonts w:ascii="Times New Roman" w:eastAsia="仿宋_GB2312" w:hAnsi="Times New Roman" w:cs="Times New Roman" w:hint="eastAsia"/>
          <w:kern w:val="0"/>
          <w:sz w:val="32"/>
        </w:rPr>
        <w:t>36.05</w:t>
      </w:r>
      <w:r w:rsidRPr="005752F4">
        <w:rPr>
          <w:rFonts w:ascii="Times New Roman" w:eastAsia="仿宋_GB2312" w:hAnsi="Times New Roman" w:cs="Times New Roman"/>
          <w:kern w:val="0"/>
          <w:sz w:val="32"/>
        </w:rPr>
        <w:t>%</w:t>
      </w:r>
      <w:r w:rsidRPr="005752F4">
        <w:rPr>
          <w:rFonts w:ascii="Times New Roman" w:eastAsia="仿宋_GB2312" w:hAnsi="Times New Roman" w:cs="Times New Roman"/>
          <w:kern w:val="0"/>
          <w:sz w:val="32"/>
        </w:rPr>
        <w:t>。</w:t>
      </w:r>
    </w:p>
    <w:p w:rsidR="00F243C5" w:rsidRPr="004E20D6" w:rsidRDefault="00F93F67">
      <w:pPr>
        <w:ind w:firstLineChars="200" w:firstLine="640"/>
        <w:rPr>
          <w:rFonts w:ascii="Times New Roman" w:eastAsia="仿宋_GB2312" w:hAnsi="Times New Roman" w:cs="Times New Roman"/>
          <w:kern w:val="0"/>
          <w:sz w:val="32"/>
        </w:rPr>
      </w:pPr>
      <w:r w:rsidRPr="004E20D6">
        <w:rPr>
          <w:rFonts w:ascii="Times New Roman" w:eastAsia="仿宋_GB2312" w:hAnsi="Times New Roman" w:cs="Times New Roman" w:hint="eastAsia"/>
          <w:kern w:val="0"/>
          <w:sz w:val="32"/>
        </w:rPr>
        <w:t>202</w:t>
      </w:r>
      <w:r w:rsidR="00DF58A2" w:rsidRPr="004E20D6">
        <w:rPr>
          <w:rFonts w:ascii="Times New Roman" w:eastAsia="仿宋_GB2312" w:hAnsi="Times New Roman" w:cs="Times New Roman" w:hint="eastAsia"/>
          <w:kern w:val="0"/>
          <w:sz w:val="32"/>
        </w:rPr>
        <w:t>1</w:t>
      </w:r>
      <w:r w:rsidRPr="004E20D6">
        <w:rPr>
          <w:rFonts w:ascii="Times New Roman" w:eastAsia="仿宋_GB2312" w:hAnsi="Times New Roman" w:cs="Times New Roman" w:hint="eastAsia"/>
          <w:kern w:val="0"/>
          <w:sz w:val="32"/>
        </w:rPr>
        <w:t>年，全市地方政府债券还本付息总额</w:t>
      </w:r>
      <w:r w:rsidR="00DF58A2" w:rsidRPr="004E20D6">
        <w:rPr>
          <w:rFonts w:ascii="Times New Roman" w:eastAsia="仿宋_GB2312" w:hAnsi="Times New Roman" w:cs="Times New Roman" w:hint="eastAsia"/>
          <w:kern w:val="0"/>
          <w:sz w:val="32"/>
        </w:rPr>
        <w:t>25.8</w:t>
      </w:r>
      <w:r w:rsidRPr="004E20D6">
        <w:rPr>
          <w:rFonts w:ascii="Times New Roman" w:eastAsia="仿宋_GB2312" w:hAnsi="Times New Roman" w:cs="Times New Roman" w:hint="eastAsia"/>
          <w:kern w:val="0"/>
          <w:sz w:val="32"/>
        </w:rPr>
        <w:t>亿元，其中，市本级还本付息</w:t>
      </w:r>
      <w:r w:rsidR="00DF58A2" w:rsidRPr="004E20D6">
        <w:rPr>
          <w:rFonts w:ascii="Times New Roman" w:eastAsia="仿宋_GB2312" w:hAnsi="Times New Roman" w:cs="Times New Roman" w:hint="eastAsia"/>
          <w:kern w:val="0"/>
          <w:sz w:val="32"/>
        </w:rPr>
        <w:t>18.96</w:t>
      </w:r>
      <w:r w:rsidRPr="004E20D6">
        <w:rPr>
          <w:rFonts w:ascii="Times New Roman" w:eastAsia="仿宋_GB2312" w:hAnsi="Times New Roman" w:cs="Times New Roman" w:hint="eastAsia"/>
          <w:kern w:val="0"/>
          <w:sz w:val="32"/>
        </w:rPr>
        <w:t>亿元，占全市总额</w:t>
      </w:r>
      <w:r w:rsidR="00DF58A2" w:rsidRPr="004E20D6">
        <w:rPr>
          <w:rFonts w:ascii="Times New Roman" w:eastAsia="仿宋_GB2312" w:hAnsi="Times New Roman" w:cs="Times New Roman" w:hint="eastAsia"/>
          <w:kern w:val="0"/>
          <w:sz w:val="32"/>
        </w:rPr>
        <w:t>73.49</w:t>
      </w:r>
      <w:r w:rsidRPr="004E20D6">
        <w:rPr>
          <w:rFonts w:ascii="Times New Roman" w:eastAsia="仿宋_GB2312" w:hAnsi="Times New Roman" w:cs="Times New Roman" w:hint="eastAsia"/>
          <w:kern w:val="0"/>
          <w:sz w:val="32"/>
        </w:rPr>
        <w:t>%</w:t>
      </w:r>
      <w:r w:rsidRPr="004E20D6">
        <w:rPr>
          <w:rFonts w:ascii="Times New Roman" w:eastAsia="仿宋_GB2312" w:hAnsi="Times New Roman" w:cs="Times New Roman" w:hint="eastAsia"/>
          <w:kern w:val="0"/>
          <w:sz w:val="32"/>
        </w:rPr>
        <w:t>，</w:t>
      </w:r>
      <w:r w:rsidR="00DF58A2" w:rsidRPr="004E20D6">
        <w:rPr>
          <w:rFonts w:ascii="Times New Roman" w:eastAsia="仿宋_GB2312" w:hAnsi="Times New Roman" w:cs="Times New Roman" w:hint="eastAsia"/>
          <w:kern w:val="0"/>
          <w:sz w:val="32"/>
        </w:rPr>
        <w:t>其他</w:t>
      </w:r>
      <w:r w:rsidRPr="004E20D6">
        <w:rPr>
          <w:rFonts w:ascii="Times New Roman" w:eastAsia="仿宋_GB2312" w:hAnsi="Times New Roman" w:cs="Times New Roman"/>
          <w:kern w:val="0"/>
          <w:sz w:val="32"/>
        </w:rPr>
        <w:t>县区</w:t>
      </w:r>
      <w:r w:rsidRPr="004E20D6">
        <w:rPr>
          <w:rFonts w:ascii="Times New Roman" w:eastAsia="仿宋_GB2312" w:hAnsi="Times New Roman" w:cs="Times New Roman" w:hint="eastAsia"/>
          <w:kern w:val="0"/>
          <w:sz w:val="32"/>
        </w:rPr>
        <w:t>还本付息</w:t>
      </w:r>
      <w:r w:rsidR="00DF58A2" w:rsidRPr="004E20D6">
        <w:rPr>
          <w:rFonts w:ascii="Times New Roman" w:eastAsia="仿宋_GB2312" w:hAnsi="Times New Roman" w:cs="Times New Roman" w:hint="eastAsia"/>
          <w:kern w:val="0"/>
          <w:sz w:val="32"/>
        </w:rPr>
        <w:t>6.84</w:t>
      </w:r>
      <w:r w:rsidRPr="004E20D6">
        <w:rPr>
          <w:rFonts w:ascii="Times New Roman" w:eastAsia="仿宋_GB2312" w:hAnsi="Times New Roman" w:cs="Times New Roman" w:hint="eastAsia"/>
          <w:kern w:val="0"/>
          <w:sz w:val="32"/>
        </w:rPr>
        <w:t>亿元，占全市总额</w:t>
      </w:r>
      <w:r w:rsidR="004E20D6" w:rsidRPr="004E20D6">
        <w:rPr>
          <w:rFonts w:ascii="Times New Roman" w:eastAsia="仿宋_GB2312" w:hAnsi="Times New Roman" w:cs="Times New Roman" w:hint="eastAsia"/>
          <w:kern w:val="0"/>
          <w:sz w:val="32"/>
        </w:rPr>
        <w:t>26.51</w:t>
      </w:r>
      <w:r w:rsidRPr="004E20D6">
        <w:rPr>
          <w:rFonts w:ascii="Times New Roman" w:eastAsia="仿宋_GB2312" w:hAnsi="Times New Roman" w:cs="Times New Roman" w:hint="eastAsia"/>
          <w:kern w:val="0"/>
          <w:sz w:val="32"/>
        </w:rPr>
        <w:t>%</w:t>
      </w:r>
      <w:r w:rsidRPr="004E20D6">
        <w:rPr>
          <w:rFonts w:ascii="Times New Roman" w:eastAsia="仿宋_GB2312" w:hAnsi="Times New Roman" w:cs="Times New Roman" w:hint="eastAsia"/>
          <w:kern w:val="0"/>
          <w:sz w:val="32"/>
        </w:rPr>
        <w:t>。</w:t>
      </w:r>
    </w:p>
    <w:p w:rsidR="00F243C5" w:rsidRPr="004E20D6" w:rsidRDefault="00F93F67">
      <w:pPr>
        <w:ind w:firstLineChars="200" w:firstLine="640"/>
        <w:rPr>
          <w:rFonts w:ascii="Times New Roman" w:eastAsia="仿宋_GB2312" w:hAnsi="Times New Roman" w:cs="Times New Roman"/>
          <w:kern w:val="0"/>
          <w:sz w:val="32"/>
        </w:rPr>
      </w:pPr>
      <w:r w:rsidRPr="004E20D6">
        <w:rPr>
          <w:rFonts w:ascii="Times New Roman" w:eastAsia="仿宋_GB2312" w:hAnsi="Times New Roman" w:cs="Times New Roman" w:hint="eastAsia"/>
          <w:kern w:val="0"/>
          <w:sz w:val="32"/>
        </w:rPr>
        <w:t>202</w:t>
      </w:r>
      <w:r w:rsidR="004E20D6" w:rsidRPr="004E20D6">
        <w:rPr>
          <w:rFonts w:ascii="Times New Roman" w:eastAsia="仿宋_GB2312" w:hAnsi="Times New Roman" w:cs="Times New Roman" w:hint="eastAsia"/>
          <w:kern w:val="0"/>
          <w:sz w:val="32"/>
        </w:rPr>
        <w:t>2</w:t>
      </w:r>
      <w:r w:rsidRPr="004E20D6">
        <w:rPr>
          <w:rFonts w:ascii="Times New Roman" w:eastAsia="仿宋_GB2312" w:hAnsi="Times New Roman" w:cs="Times New Roman" w:hint="eastAsia"/>
          <w:kern w:val="0"/>
          <w:sz w:val="32"/>
        </w:rPr>
        <w:t>年，全市地方政府债券还本付息</w:t>
      </w:r>
      <w:r w:rsidR="004E20D6" w:rsidRPr="004E20D6">
        <w:rPr>
          <w:rFonts w:ascii="Times New Roman" w:eastAsia="仿宋_GB2312" w:hAnsi="Times New Roman" w:cs="Times New Roman" w:hint="eastAsia"/>
          <w:kern w:val="0"/>
          <w:sz w:val="32"/>
        </w:rPr>
        <w:t>36.31</w:t>
      </w:r>
      <w:r w:rsidRPr="004E20D6">
        <w:rPr>
          <w:rFonts w:ascii="Times New Roman" w:eastAsia="仿宋_GB2312" w:hAnsi="Times New Roman" w:cs="Times New Roman" w:hint="eastAsia"/>
          <w:kern w:val="0"/>
          <w:sz w:val="32"/>
        </w:rPr>
        <w:t>亿元，其中：申请再融资债券偿还</w:t>
      </w:r>
      <w:r w:rsidR="00D647FE">
        <w:rPr>
          <w:rFonts w:ascii="Times New Roman" w:eastAsia="仿宋_GB2312" w:hAnsi="Times New Roman" w:cs="Times New Roman" w:hint="eastAsia"/>
          <w:kern w:val="0"/>
          <w:sz w:val="32"/>
        </w:rPr>
        <w:t>本金</w:t>
      </w:r>
      <w:r w:rsidR="004E20D6" w:rsidRPr="004E20D6">
        <w:rPr>
          <w:rFonts w:ascii="Times New Roman" w:eastAsia="仿宋_GB2312" w:hAnsi="Times New Roman" w:cs="Times New Roman" w:hint="eastAsia"/>
          <w:kern w:val="0"/>
          <w:sz w:val="32"/>
        </w:rPr>
        <w:t>25.84</w:t>
      </w:r>
      <w:r w:rsidRPr="004E20D6">
        <w:rPr>
          <w:rFonts w:ascii="Times New Roman" w:eastAsia="仿宋_GB2312" w:hAnsi="Times New Roman" w:cs="Times New Roman" w:hint="eastAsia"/>
          <w:kern w:val="0"/>
          <w:sz w:val="32"/>
        </w:rPr>
        <w:t>亿元，财力偿还</w:t>
      </w:r>
      <w:r w:rsidR="00D647FE">
        <w:rPr>
          <w:rFonts w:ascii="Times New Roman" w:eastAsia="仿宋_GB2312" w:hAnsi="Times New Roman" w:cs="Times New Roman" w:hint="eastAsia"/>
          <w:kern w:val="0"/>
          <w:sz w:val="32"/>
        </w:rPr>
        <w:t>本息</w:t>
      </w:r>
      <w:r w:rsidR="004E20D6" w:rsidRPr="004E20D6">
        <w:rPr>
          <w:rFonts w:ascii="Times New Roman" w:eastAsia="仿宋_GB2312" w:hAnsi="Times New Roman" w:cs="Times New Roman" w:hint="eastAsia"/>
          <w:kern w:val="0"/>
          <w:sz w:val="32"/>
        </w:rPr>
        <w:t>10.47</w:t>
      </w:r>
      <w:r w:rsidRPr="004E20D6">
        <w:rPr>
          <w:rFonts w:ascii="Times New Roman" w:eastAsia="仿宋_GB2312" w:hAnsi="Times New Roman" w:cs="Times New Roman" w:hint="eastAsia"/>
          <w:kern w:val="0"/>
          <w:sz w:val="32"/>
        </w:rPr>
        <w:t>亿元。分级次看：市本级还本付息</w:t>
      </w:r>
      <w:r w:rsidR="004E20D6" w:rsidRPr="004E20D6">
        <w:rPr>
          <w:rFonts w:ascii="Times New Roman" w:eastAsia="仿宋_GB2312" w:hAnsi="Times New Roman" w:cs="Times New Roman" w:hint="eastAsia"/>
          <w:kern w:val="0"/>
          <w:sz w:val="32"/>
        </w:rPr>
        <w:t>24.94</w:t>
      </w:r>
      <w:r w:rsidRPr="004E20D6">
        <w:rPr>
          <w:rFonts w:ascii="Times New Roman" w:eastAsia="仿宋_GB2312" w:hAnsi="Times New Roman" w:cs="Times New Roman" w:hint="eastAsia"/>
          <w:kern w:val="0"/>
          <w:sz w:val="32"/>
        </w:rPr>
        <w:t>亿元，占全市总额</w:t>
      </w:r>
      <w:r w:rsidR="004E20D6" w:rsidRPr="004E20D6">
        <w:rPr>
          <w:rFonts w:ascii="Times New Roman" w:eastAsia="仿宋_GB2312" w:hAnsi="Times New Roman" w:cs="Times New Roman" w:hint="eastAsia"/>
          <w:kern w:val="0"/>
          <w:sz w:val="32"/>
        </w:rPr>
        <w:t>68.69</w:t>
      </w:r>
      <w:r w:rsidRPr="004E20D6">
        <w:rPr>
          <w:rFonts w:ascii="Times New Roman" w:eastAsia="仿宋_GB2312" w:hAnsi="Times New Roman" w:cs="Times New Roman" w:hint="eastAsia"/>
          <w:kern w:val="0"/>
          <w:sz w:val="32"/>
        </w:rPr>
        <w:t>%</w:t>
      </w:r>
      <w:r w:rsidRPr="004E20D6">
        <w:rPr>
          <w:rFonts w:ascii="Times New Roman" w:eastAsia="仿宋_GB2312" w:hAnsi="Times New Roman" w:cs="Times New Roman" w:hint="eastAsia"/>
          <w:kern w:val="0"/>
          <w:sz w:val="32"/>
        </w:rPr>
        <w:t>，</w:t>
      </w:r>
      <w:r w:rsidR="004E20D6" w:rsidRPr="004E20D6">
        <w:rPr>
          <w:rFonts w:ascii="Times New Roman" w:eastAsia="仿宋_GB2312" w:hAnsi="Times New Roman" w:cs="Times New Roman" w:hint="eastAsia"/>
          <w:kern w:val="0"/>
          <w:sz w:val="32"/>
        </w:rPr>
        <w:t>其他</w:t>
      </w:r>
      <w:r w:rsidRPr="004E20D6">
        <w:rPr>
          <w:rFonts w:ascii="Times New Roman" w:eastAsia="仿宋_GB2312" w:hAnsi="Times New Roman" w:cs="Times New Roman"/>
          <w:kern w:val="0"/>
          <w:sz w:val="32"/>
        </w:rPr>
        <w:t>县区</w:t>
      </w:r>
      <w:r w:rsidRPr="004E20D6">
        <w:rPr>
          <w:rFonts w:ascii="Times New Roman" w:eastAsia="仿宋_GB2312" w:hAnsi="Times New Roman" w:cs="Times New Roman" w:hint="eastAsia"/>
          <w:kern w:val="0"/>
          <w:sz w:val="32"/>
        </w:rPr>
        <w:t>还本付息</w:t>
      </w:r>
      <w:r w:rsidR="004E20D6" w:rsidRPr="004E20D6">
        <w:rPr>
          <w:rFonts w:ascii="Times New Roman" w:eastAsia="仿宋_GB2312" w:hAnsi="Times New Roman" w:cs="Times New Roman" w:hint="eastAsia"/>
          <w:kern w:val="0"/>
          <w:sz w:val="32"/>
        </w:rPr>
        <w:t>11.37</w:t>
      </w:r>
      <w:r w:rsidRPr="004E20D6">
        <w:rPr>
          <w:rFonts w:ascii="Times New Roman" w:eastAsia="仿宋_GB2312" w:hAnsi="Times New Roman" w:cs="Times New Roman" w:hint="eastAsia"/>
          <w:kern w:val="0"/>
          <w:sz w:val="32"/>
        </w:rPr>
        <w:t>亿元，占全市总额</w:t>
      </w:r>
      <w:r w:rsidR="004E20D6" w:rsidRPr="004E20D6">
        <w:rPr>
          <w:rFonts w:ascii="Times New Roman" w:eastAsia="仿宋_GB2312" w:hAnsi="Times New Roman" w:cs="Times New Roman" w:hint="eastAsia"/>
          <w:kern w:val="0"/>
          <w:sz w:val="32"/>
        </w:rPr>
        <w:t>31.31</w:t>
      </w:r>
      <w:r w:rsidRPr="004E20D6">
        <w:rPr>
          <w:rFonts w:ascii="Times New Roman" w:eastAsia="仿宋_GB2312" w:hAnsi="Times New Roman" w:cs="Times New Roman" w:hint="eastAsia"/>
          <w:kern w:val="0"/>
          <w:sz w:val="32"/>
        </w:rPr>
        <w:t>%</w:t>
      </w:r>
      <w:r w:rsidRPr="004E20D6">
        <w:rPr>
          <w:rFonts w:ascii="Times New Roman" w:eastAsia="仿宋_GB2312" w:hAnsi="Times New Roman" w:cs="Times New Roman" w:hint="eastAsia"/>
          <w:kern w:val="0"/>
          <w:sz w:val="32"/>
        </w:rPr>
        <w:t>。</w:t>
      </w:r>
    </w:p>
    <w:p w:rsidR="00F243C5" w:rsidRPr="004E20D6" w:rsidRDefault="00F93F67">
      <w:pPr>
        <w:ind w:firstLineChars="200" w:firstLine="640"/>
        <w:rPr>
          <w:rFonts w:ascii="Times New Roman" w:eastAsia="仿宋_GB2312" w:hAnsi="Times New Roman" w:cs="Times New Roman"/>
          <w:sz w:val="32"/>
        </w:rPr>
      </w:pPr>
      <w:r w:rsidRPr="004E20D6">
        <w:rPr>
          <w:rFonts w:ascii="Times New Roman" w:eastAsia="仿宋_GB2312" w:hAnsi="Times New Roman" w:cs="Times New Roman"/>
          <w:sz w:val="32"/>
          <w:lang w:val="zh-CN"/>
        </w:rPr>
        <w:t>我市加强政府债务管理采取的主要措施包括：</w:t>
      </w:r>
    </w:p>
    <w:p w:rsidR="004E20D6" w:rsidRPr="004E20D6" w:rsidRDefault="004E20D6" w:rsidP="004E20D6">
      <w:pPr>
        <w:snapToGrid w:val="0"/>
        <w:spacing w:line="600" w:lineRule="exact"/>
        <w:ind w:firstLine="640"/>
        <w:textAlignment w:val="baseline"/>
        <w:rPr>
          <w:rFonts w:ascii="仿宋_GB2312" w:eastAsia="仿宋_GB2312"/>
          <w:sz w:val="32"/>
          <w:szCs w:val="32"/>
        </w:rPr>
      </w:pPr>
      <w:r w:rsidRPr="004E20D6">
        <w:rPr>
          <w:rFonts w:ascii="仿宋_GB2312" w:eastAsia="仿宋_GB2312" w:hAnsi="黑体" w:hint="eastAsia"/>
          <w:sz w:val="32"/>
          <w:szCs w:val="32"/>
        </w:rPr>
        <w:t>一是充分发挥政府债务资金支持经济发展的积极作用，推动我市高质量转型发展。</w:t>
      </w:r>
      <w:r w:rsidRPr="004E20D6">
        <w:rPr>
          <w:rFonts w:ascii="仿宋_GB2312" w:eastAsia="仿宋_GB2312" w:hint="eastAsia"/>
          <w:sz w:val="32"/>
          <w:szCs w:val="32"/>
        </w:rPr>
        <w:t>经市人大常委会批准，2021年全市依法合</w:t>
      </w:r>
      <w:proofErr w:type="gramStart"/>
      <w:r w:rsidRPr="004E20D6">
        <w:rPr>
          <w:rFonts w:ascii="仿宋_GB2312" w:eastAsia="仿宋_GB2312" w:hint="eastAsia"/>
          <w:sz w:val="32"/>
          <w:szCs w:val="32"/>
        </w:rPr>
        <w:t>规</w:t>
      </w:r>
      <w:proofErr w:type="gramEnd"/>
      <w:r w:rsidRPr="004E20D6">
        <w:rPr>
          <w:rFonts w:ascii="仿宋_GB2312" w:eastAsia="仿宋_GB2312" w:hint="eastAsia"/>
          <w:sz w:val="32"/>
          <w:szCs w:val="32"/>
        </w:rPr>
        <w:t>新增政府债务52.17亿元，债务收支分类纳入一般公共预算和政府性基金预算管理。债务资金主要用于公共基础设施建设、城市道路、产业园区基础设施及旅游公路建设；有效支持了污水处理、脱贫攻坚、棚户区改造等重大项目建设和</w:t>
      </w:r>
      <w:proofErr w:type="gramStart"/>
      <w:r w:rsidRPr="004E20D6">
        <w:rPr>
          <w:rFonts w:ascii="仿宋_GB2312" w:eastAsia="仿宋_GB2312" w:hint="eastAsia"/>
          <w:sz w:val="32"/>
          <w:szCs w:val="32"/>
        </w:rPr>
        <w:t>转型综改发展</w:t>
      </w:r>
      <w:proofErr w:type="gramEnd"/>
      <w:r w:rsidRPr="004E20D6">
        <w:rPr>
          <w:rFonts w:ascii="仿宋_GB2312" w:eastAsia="仿宋_GB2312" w:hint="eastAsia"/>
          <w:sz w:val="32"/>
          <w:szCs w:val="32"/>
        </w:rPr>
        <w:t>，为我市经济高质量发展提供强有力的资金保障。</w:t>
      </w:r>
    </w:p>
    <w:p w:rsidR="004E20D6" w:rsidRPr="004E20D6" w:rsidRDefault="004E20D6" w:rsidP="004E20D6">
      <w:pPr>
        <w:spacing w:line="600" w:lineRule="exact"/>
        <w:ind w:firstLine="660"/>
        <w:rPr>
          <w:rFonts w:ascii="仿宋_GB2312" w:eastAsia="仿宋_GB2312"/>
          <w:sz w:val="32"/>
          <w:szCs w:val="32"/>
        </w:rPr>
      </w:pPr>
      <w:r w:rsidRPr="004E20D6">
        <w:rPr>
          <w:rFonts w:ascii="仿宋_GB2312" w:eastAsia="仿宋_GB2312" w:hAnsi="黑体" w:hint="eastAsia"/>
          <w:sz w:val="32"/>
          <w:szCs w:val="32"/>
        </w:rPr>
        <w:lastRenderedPageBreak/>
        <w:t>二是压紧压实责任，及时偿还到期政府债务。</w:t>
      </w:r>
      <w:r w:rsidRPr="004E20D6">
        <w:rPr>
          <w:rFonts w:ascii="仿宋_GB2312" w:eastAsia="仿宋_GB2312" w:hint="eastAsia"/>
          <w:sz w:val="32"/>
          <w:szCs w:val="32"/>
        </w:rPr>
        <w:t>2021年继续推进发行项目收益与融资自求平衡专项债券，利用项目收益偿还债券本息，降低债务偿还风险。科学确定债券发行期限，平滑债券存续期内偿债压力。2021年我市申请</w:t>
      </w:r>
      <w:r w:rsidRPr="004E20D6">
        <w:rPr>
          <w:rFonts w:ascii="仿宋_GB2312" w:eastAsia="仿宋_GB2312" w:hAnsi="Calibri" w:hint="eastAsia"/>
          <w:sz w:val="32"/>
          <w:szCs w:val="32"/>
        </w:rPr>
        <w:t>再融资债券</w:t>
      </w:r>
      <w:r w:rsidRPr="004E20D6">
        <w:rPr>
          <w:rFonts w:ascii="仿宋_GB2312" w:eastAsia="仿宋_GB2312" w:hint="eastAsia"/>
          <w:sz w:val="32"/>
          <w:szCs w:val="32"/>
        </w:rPr>
        <w:t>13.08亿元，自有财力安排4.18亿元，用于</w:t>
      </w:r>
      <w:r w:rsidRPr="004E20D6">
        <w:rPr>
          <w:rFonts w:ascii="仿宋_GB2312" w:eastAsia="仿宋_GB2312" w:hAnsi="宋体" w:hint="eastAsia"/>
          <w:sz w:val="32"/>
          <w:szCs w:val="32"/>
        </w:rPr>
        <w:t>偿还以前年度发行当年到期的政府债券</w:t>
      </w:r>
      <w:r w:rsidRPr="004E20D6">
        <w:rPr>
          <w:rFonts w:ascii="仿宋_GB2312" w:eastAsia="仿宋_GB2312" w:hint="eastAsia"/>
          <w:sz w:val="32"/>
          <w:szCs w:val="32"/>
        </w:rPr>
        <w:t>，</w:t>
      </w:r>
      <w:r w:rsidRPr="004E20D6">
        <w:rPr>
          <w:rFonts w:ascii="仿宋_GB2312" w:eastAsia="仿宋_GB2312" w:hAnsi="Calibri" w:hint="eastAsia"/>
          <w:sz w:val="32"/>
          <w:szCs w:val="32"/>
        </w:rPr>
        <w:t>缓减债务偿债压力</w:t>
      </w:r>
      <w:r w:rsidRPr="004E20D6">
        <w:rPr>
          <w:rFonts w:ascii="仿宋_GB2312" w:eastAsia="仿宋_GB2312" w:hint="eastAsia"/>
          <w:sz w:val="32"/>
          <w:szCs w:val="32"/>
        </w:rPr>
        <w:t>，优化了债务期限，减轻了政府的还本付息压力，腾出宝贵财力用于其他亟需资金的项目建设，进一步筑牢基层政府“三保”工作基础。</w:t>
      </w:r>
    </w:p>
    <w:p w:rsidR="004E20D6" w:rsidRPr="004E20D6" w:rsidRDefault="004E20D6" w:rsidP="004E20D6">
      <w:pPr>
        <w:spacing w:line="600" w:lineRule="exact"/>
        <w:ind w:firstLineChars="200" w:firstLine="640"/>
        <w:rPr>
          <w:rFonts w:ascii="仿宋_GB2312" w:eastAsia="仿宋_GB2312"/>
          <w:sz w:val="32"/>
          <w:szCs w:val="32"/>
        </w:rPr>
      </w:pPr>
      <w:r w:rsidRPr="004E20D6">
        <w:rPr>
          <w:rFonts w:ascii="仿宋_GB2312" w:eastAsia="仿宋_GB2312" w:hAnsi="黑体" w:hint="eastAsia"/>
          <w:sz w:val="32"/>
          <w:szCs w:val="32"/>
        </w:rPr>
        <w:t>三是稳妥有序化解存量债务，有效管</w:t>
      </w:r>
      <w:proofErr w:type="gramStart"/>
      <w:r w:rsidRPr="004E20D6">
        <w:rPr>
          <w:rFonts w:ascii="仿宋_GB2312" w:eastAsia="仿宋_GB2312" w:hAnsi="黑体" w:hint="eastAsia"/>
          <w:sz w:val="32"/>
          <w:szCs w:val="32"/>
        </w:rPr>
        <w:t>控政府</w:t>
      </w:r>
      <w:proofErr w:type="gramEnd"/>
      <w:r w:rsidRPr="004E20D6">
        <w:rPr>
          <w:rFonts w:ascii="仿宋_GB2312" w:eastAsia="仿宋_GB2312" w:hAnsi="黑体" w:hint="eastAsia"/>
          <w:sz w:val="32"/>
          <w:szCs w:val="32"/>
        </w:rPr>
        <w:t>债务风险。</w:t>
      </w:r>
      <w:r w:rsidRPr="004E20D6">
        <w:rPr>
          <w:rFonts w:ascii="仿宋_GB2312" w:eastAsia="仿宋_GB2312" w:hint="eastAsia"/>
          <w:sz w:val="32"/>
          <w:szCs w:val="32"/>
        </w:rPr>
        <w:t>2021年，我市严格按照政府债务化解方案提出的化解目标和化解措施，将政府债务化解方案落到实处，严禁以任何方式新增任何形式的政府隐性债务，维护了政府信用，为降低债务风险、维护社会和谐稳定发挥了重大而积极的作用。2021年全市总体化</w:t>
      </w:r>
      <w:proofErr w:type="gramStart"/>
      <w:r w:rsidRPr="004E20D6">
        <w:rPr>
          <w:rFonts w:ascii="仿宋_GB2312" w:eastAsia="仿宋_GB2312" w:hint="eastAsia"/>
          <w:sz w:val="32"/>
          <w:szCs w:val="32"/>
        </w:rPr>
        <w:t>债任务</w:t>
      </w:r>
      <w:proofErr w:type="gramEnd"/>
      <w:r w:rsidRPr="004E20D6">
        <w:rPr>
          <w:rFonts w:ascii="仿宋_GB2312" w:eastAsia="仿宋_GB2312" w:hint="eastAsia"/>
          <w:sz w:val="32"/>
          <w:szCs w:val="32"/>
        </w:rPr>
        <w:t>已超额完成。</w:t>
      </w:r>
    </w:p>
    <w:p w:rsidR="00F243C5" w:rsidRPr="0006547F" w:rsidRDefault="00F93F67">
      <w:pPr>
        <w:ind w:firstLineChars="200" w:firstLine="640"/>
        <w:rPr>
          <w:rFonts w:ascii="Times New Roman" w:eastAsia="黑体" w:hAnsi="Times New Roman" w:cs="Times New Roman"/>
          <w:sz w:val="32"/>
          <w:szCs w:val="32"/>
        </w:rPr>
      </w:pPr>
      <w:r w:rsidRPr="0006547F">
        <w:rPr>
          <w:rFonts w:ascii="Times New Roman" w:eastAsia="黑体" w:hAnsi="Times New Roman" w:cs="Times New Roman" w:hint="eastAsia"/>
          <w:sz w:val="32"/>
          <w:szCs w:val="32"/>
        </w:rPr>
        <w:t>四、</w:t>
      </w:r>
      <w:r w:rsidRPr="0006547F">
        <w:rPr>
          <w:rFonts w:ascii="Times New Roman" w:eastAsia="黑体" w:hAnsi="Times New Roman" w:cs="Times New Roman"/>
          <w:sz w:val="32"/>
          <w:szCs w:val="32"/>
        </w:rPr>
        <w:t>预算绩效开展情况说明</w:t>
      </w:r>
    </w:p>
    <w:p w:rsidR="00B13AEF" w:rsidRPr="00EA321F" w:rsidRDefault="00B13AEF" w:rsidP="00B13AEF">
      <w:pPr>
        <w:spacing w:line="600" w:lineRule="exact"/>
        <w:ind w:firstLineChars="200" w:firstLine="640"/>
        <w:rPr>
          <w:rFonts w:ascii="Times New Roman" w:eastAsia="仿宋_GB2312" w:hAnsi="Times New Roman" w:cs="Times New Roman"/>
          <w:kern w:val="0"/>
          <w:sz w:val="32"/>
        </w:rPr>
      </w:pPr>
      <w:r w:rsidRPr="00EA321F">
        <w:rPr>
          <w:rFonts w:ascii="仿宋_GB2312" w:eastAsia="仿宋_GB2312" w:hAnsi="仿宋_GB2312" w:cs="仿宋_GB2312" w:hint="eastAsia"/>
          <w:sz w:val="32"/>
          <w:szCs w:val="32"/>
        </w:rPr>
        <w:t>我市预算绩效管理工作紧紧围绕全市中心工作，认真贯彻党的十九大“建立全面规范透明、标准科学、约束有力的预算制度，全面实施绩效管理”精神，严格按照《中共中央、国务院关于全面实施预算绩效管理的意见》和《中共山西省委、山西省人民政府关于全面实施预算绩效管理的实施意见》的要求，以建立全方位、全过程、全覆盖的预算绩效管理体系为目标，</w:t>
      </w:r>
      <w:r w:rsidRPr="00EA321F">
        <w:rPr>
          <w:rFonts w:ascii="仿宋_GB2312" w:eastAsia="仿宋_GB2312" w:hint="eastAsia"/>
          <w:bCs/>
          <w:sz w:val="32"/>
          <w:szCs w:val="32"/>
        </w:rPr>
        <w:t>通过建机制、</w:t>
      </w:r>
      <w:r w:rsidRPr="00EA321F">
        <w:rPr>
          <w:rFonts w:ascii="仿宋_GB2312" w:eastAsia="仿宋_GB2312" w:hint="eastAsia"/>
          <w:bCs/>
          <w:sz w:val="32"/>
          <w:szCs w:val="32"/>
        </w:rPr>
        <w:lastRenderedPageBreak/>
        <w:t>扩范围、抓重点、补短板,积极构建全面实施预算绩效管理体系，着力提高财政资源配置效率和使用效益，</w:t>
      </w:r>
      <w:r w:rsidRPr="00EA321F">
        <w:rPr>
          <w:rFonts w:ascii="Times New Roman" w:eastAsia="仿宋_GB2312" w:hAnsi="Times New Roman" w:cs="Times New Roman"/>
          <w:kern w:val="0"/>
          <w:sz w:val="32"/>
        </w:rPr>
        <w:t>主要采取了以下措施：</w:t>
      </w:r>
    </w:p>
    <w:p w:rsidR="00B13AEF" w:rsidRPr="00EA321F" w:rsidRDefault="00B13AEF" w:rsidP="00B13AEF">
      <w:pPr>
        <w:spacing w:line="600" w:lineRule="exact"/>
        <w:ind w:firstLineChars="147" w:firstLine="472"/>
        <w:rPr>
          <w:rStyle w:val="a9"/>
          <w:rFonts w:ascii="楷体" w:eastAsia="楷体" w:hAnsi="楷体" w:cs="Arial"/>
          <w:sz w:val="32"/>
          <w:szCs w:val="32"/>
        </w:rPr>
      </w:pPr>
      <w:r w:rsidRPr="00EA321F">
        <w:rPr>
          <w:rStyle w:val="a9"/>
          <w:rFonts w:ascii="楷体" w:eastAsia="楷体" w:hAnsi="楷体" w:cs="Arial" w:hint="eastAsia"/>
          <w:sz w:val="32"/>
          <w:szCs w:val="32"/>
        </w:rPr>
        <w:t>（一）完善规章制度，构建全面绩效管理体系</w:t>
      </w:r>
    </w:p>
    <w:p w:rsidR="00B13AEF" w:rsidRPr="00EA321F" w:rsidRDefault="00B13AEF" w:rsidP="00B13AEF">
      <w:pPr>
        <w:spacing w:line="672" w:lineRule="exact"/>
        <w:ind w:firstLineChars="200" w:firstLine="640"/>
        <w:rPr>
          <w:rStyle w:val="a9"/>
          <w:rFonts w:ascii="楷体" w:eastAsia="楷体" w:hAnsi="楷体" w:cs="Arial"/>
          <w:color w:val="FF0000"/>
          <w:sz w:val="32"/>
          <w:szCs w:val="32"/>
        </w:rPr>
      </w:pPr>
      <w:r w:rsidRPr="00EA321F">
        <w:rPr>
          <w:rFonts w:ascii="仿宋_GB2312" w:eastAsia="仿宋_GB2312" w:cs="仿宋_GB2312" w:hint="eastAsia"/>
          <w:sz w:val="32"/>
          <w:szCs w:val="32"/>
          <w:shd w:val="clear" w:color="auto" w:fill="FFFFFF"/>
        </w:rPr>
        <w:t>构建预算绩效管理“1+1+N”制度体系。按照《长治市全面实施预算绩效管理工作方案》（长发〔2019〕12号）要求，制定出台了《长治市全面实施预算绩效管理实施细则》，配套印发了《市级政策和项目预算事前绩效评估管理暂行办法》、《市级项目支出绩效评价管理办法》、《市级预算部门（单位）整体支出绩效管理暂行办法》和《市级政府投资基金绩效评价管理暂行办法》，转发了《山西省财政厅关于印发&lt;政府专项债券项目资金绩效管理办法&gt;的通知》，积极构建“全方位、全过程、全覆盖”预算绩效管理体制机制，为全面实施预算绩效管理提供制度保障。</w:t>
      </w:r>
      <w:r w:rsidRPr="00EA321F">
        <w:rPr>
          <w:rFonts w:ascii="仿宋_GB2312" w:eastAsia="仿宋_GB2312" w:hAnsi="仿宋" w:hint="eastAsia"/>
          <w:sz w:val="32"/>
          <w:szCs w:val="32"/>
        </w:rPr>
        <w:t>13个县区结合地方实际出台了本县区全面实施预算绩效管理工作方案和实施细则，为全面实施预算绩效管理奠定制度基础。</w:t>
      </w:r>
    </w:p>
    <w:p w:rsidR="00B13AEF" w:rsidRPr="00EA321F" w:rsidRDefault="00B13AEF" w:rsidP="00B13AEF">
      <w:pPr>
        <w:spacing w:line="600" w:lineRule="exact"/>
        <w:ind w:firstLineChars="147" w:firstLine="472"/>
        <w:rPr>
          <w:rFonts w:ascii="楷体" w:eastAsia="楷体" w:hAnsi="楷体" w:cs="Arial"/>
          <w:bCs/>
          <w:sz w:val="32"/>
          <w:szCs w:val="32"/>
        </w:rPr>
      </w:pPr>
      <w:r w:rsidRPr="00EA321F">
        <w:rPr>
          <w:rStyle w:val="a9"/>
          <w:rFonts w:ascii="楷体" w:eastAsia="楷体" w:hAnsi="楷体" w:cs="Arial" w:hint="eastAsia"/>
          <w:sz w:val="32"/>
          <w:szCs w:val="32"/>
        </w:rPr>
        <w:t>（二）</w:t>
      </w:r>
      <w:r w:rsidRPr="00EA321F">
        <w:rPr>
          <w:rFonts w:ascii="楷体" w:eastAsia="楷体" w:hAnsi="楷体" w:cs="Arial" w:hint="eastAsia"/>
          <w:b/>
          <w:sz w:val="32"/>
          <w:szCs w:val="32"/>
        </w:rPr>
        <w:t>加强目标管理，夯实绩效管理基础</w:t>
      </w:r>
    </w:p>
    <w:p w:rsidR="00B13AEF" w:rsidRPr="00EA321F" w:rsidRDefault="00B13AEF" w:rsidP="00B13AEF">
      <w:pPr>
        <w:spacing w:line="672" w:lineRule="exact"/>
        <w:ind w:firstLineChars="200" w:firstLine="640"/>
        <w:rPr>
          <w:rFonts w:ascii="仿宋_GB2312" w:eastAsia="仿宋_GB2312" w:hAnsi="仿宋"/>
          <w:sz w:val="32"/>
          <w:szCs w:val="32"/>
        </w:rPr>
      </w:pPr>
      <w:r w:rsidRPr="00EA321F">
        <w:rPr>
          <w:rFonts w:ascii="仿宋_GB2312" w:eastAsia="仿宋_GB2312" w:hAnsi="仿宋" w:hint="eastAsia"/>
          <w:sz w:val="32"/>
          <w:szCs w:val="32"/>
        </w:rPr>
        <w:t>根据“谁申请资金,谁设定目标”、“谁分配资金,谁审核目标”、“谁批复资金,谁批复目标”的原则,加强组织与指导，着力提升绩效目标编报质量。积极推行预算核心一体化系统，将绩效管理融入预算核心一体化系统，实现绩效管理与预算管理有机结合。</w:t>
      </w:r>
      <w:r w:rsidRPr="00EA321F">
        <w:rPr>
          <w:rFonts w:ascii="仿宋_GB2312" w:eastAsia="仿宋_GB2312" w:hAnsi="仿宋" w:hint="eastAsia"/>
          <w:sz w:val="32"/>
          <w:szCs w:val="32"/>
        </w:rPr>
        <w:lastRenderedPageBreak/>
        <w:t>严把绩效目标审核关，夯实绩效管理基础，增强了财政资金预算绩效管理约束力，实现预算绩效目标与部门预算同步报送、审核、批复下达。组织编报、审核项目储备二级项目580个，金额167.32亿元；三级项目5271个，金额156.55亿元。审核预算编制二级项目436个，金额98.06亿元；三级项目1878个，金额27.86亿元。</w:t>
      </w:r>
    </w:p>
    <w:p w:rsidR="00B13AEF" w:rsidRPr="00EA321F" w:rsidRDefault="00B13AEF" w:rsidP="00B13AEF">
      <w:pPr>
        <w:pStyle w:val="20"/>
        <w:spacing w:after="0"/>
        <w:ind w:leftChars="0" w:left="0" w:firstLine="643"/>
        <w:rPr>
          <w:rFonts w:ascii="仿宋_GB2312" w:eastAsia="仿宋_GB2312" w:hAnsi="楷体" w:cs="仿宋"/>
          <w:sz w:val="32"/>
          <w:szCs w:val="32"/>
        </w:rPr>
      </w:pPr>
      <w:r w:rsidRPr="00EA321F">
        <w:rPr>
          <w:rFonts w:ascii="楷体" w:eastAsia="楷体" w:hAnsi="楷体" w:cs="Arial" w:hint="eastAsia"/>
          <w:b/>
          <w:color w:val="000000"/>
          <w:sz w:val="32"/>
          <w:szCs w:val="32"/>
        </w:rPr>
        <w:t>（三）</w:t>
      </w:r>
      <w:r w:rsidRPr="00EA321F">
        <w:rPr>
          <w:rFonts w:ascii="楷体" w:eastAsia="楷体" w:hAnsi="楷体" w:cs="Arial" w:hint="eastAsia"/>
          <w:b/>
          <w:bCs/>
          <w:color w:val="000000"/>
          <w:sz w:val="32"/>
          <w:szCs w:val="32"/>
        </w:rPr>
        <w:t>积极构建事前评估机制。</w:t>
      </w:r>
      <w:r w:rsidRPr="00EA321F">
        <w:rPr>
          <w:rFonts w:ascii="仿宋_GB2312" w:eastAsia="仿宋_GB2312" w:hAnsi="楷体" w:cs="仿宋" w:hint="eastAsia"/>
          <w:sz w:val="32"/>
          <w:szCs w:val="32"/>
        </w:rPr>
        <w:t>一是预算</w:t>
      </w:r>
      <w:proofErr w:type="gramStart"/>
      <w:r w:rsidRPr="00EA321F">
        <w:rPr>
          <w:rFonts w:ascii="仿宋_GB2312" w:eastAsia="仿宋_GB2312" w:hAnsi="楷体" w:cs="仿宋" w:hint="eastAsia"/>
          <w:sz w:val="32"/>
          <w:szCs w:val="32"/>
        </w:rPr>
        <w:t>评审成效</w:t>
      </w:r>
      <w:proofErr w:type="gramEnd"/>
      <w:r w:rsidRPr="00EA321F">
        <w:rPr>
          <w:rFonts w:ascii="仿宋_GB2312" w:eastAsia="仿宋_GB2312" w:hAnsi="楷体" w:cs="仿宋" w:hint="eastAsia"/>
          <w:sz w:val="32"/>
          <w:szCs w:val="32"/>
        </w:rPr>
        <w:t>明显。严格执行《长治市财政投资评审管理办法》，继续做实</w:t>
      </w:r>
      <w:proofErr w:type="gramStart"/>
      <w:r w:rsidRPr="00EA321F">
        <w:rPr>
          <w:rFonts w:ascii="仿宋_GB2312" w:eastAsia="仿宋_GB2312" w:hAnsi="楷体" w:cs="仿宋" w:hint="eastAsia"/>
          <w:sz w:val="32"/>
          <w:szCs w:val="32"/>
        </w:rPr>
        <w:t>财政财政</w:t>
      </w:r>
      <w:proofErr w:type="gramEnd"/>
      <w:r w:rsidRPr="00EA321F">
        <w:rPr>
          <w:rFonts w:ascii="仿宋_GB2312" w:eastAsia="仿宋_GB2312" w:hAnsi="楷体" w:cs="仿宋" w:hint="eastAsia"/>
          <w:sz w:val="32"/>
          <w:szCs w:val="32"/>
        </w:rPr>
        <w:t>预算评审工作，当年评审项目149个，涉及项目预算资金58.86亿元，审减项目预算10.74亿元，评审结果作为预算安排的必备条件。二是选择3个民生项目实施事前绩效评估试点，涉及预算资金0.4亿元，从立项必要性、绩效目标合理性、投入经济性、实施方案可行性和筹资合</w:t>
      </w:r>
      <w:proofErr w:type="gramStart"/>
      <w:r w:rsidRPr="00EA321F">
        <w:rPr>
          <w:rFonts w:ascii="仿宋_GB2312" w:eastAsia="仿宋_GB2312" w:hAnsi="楷体" w:cs="仿宋" w:hint="eastAsia"/>
          <w:sz w:val="32"/>
          <w:szCs w:val="32"/>
        </w:rPr>
        <w:t>规性实施</w:t>
      </w:r>
      <w:proofErr w:type="gramEnd"/>
      <w:r w:rsidRPr="00EA321F">
        <w:rPr>
          <w:rFonts w:ascii="仿宋_GB2312" w:eastAsia="仿宋_GB2312" w:hAnsi="楷体" w:cs="仿宋" w:hint="eastAsia"/>
          <w:sz w:val="32"/>
          <w:szCs w:val="32"/>
        </w:rPr>
        <w:t>事前评价，为预算安排决策提供依据，打造事前、事中、事后有机衔接的全过程绩效管理系统，为出台政策和项目事前评估管理办法奠定基础。</w:t>
      </w:r>
    </w:p>
    <w:p w:rsidR="00B13AEF" w:rsidRPr="00EA321F" w:rsidRDefault="00B13AEF" w:rsidP="00B13AEF">
      <w:pPr>
        <w:spacing w:line="672" w:lineRule="exact"/>
        <w:ind w:firstLineChars="150" w:firstLine="482"/>
        <w:rPr>
          <w:rFonts w:ascii="楷体" w:eastAsia="楷体" w:hAnsi="楷体" w:cs="Arial"/>
          <w:b/>
          <w:color w:val="000000"/>
          <w:sz w:val="32"/>
          <w:szCs w:val="32"/>
        </w:rPr>
      </w:pPr>
      <w:r w:rsidRPr="00EA321F">
        <w:rPr>
          <w:rStyle w:val="a9"/>
          <w:rFonts w:ascii="楷体" w:eastAsia="楷体" w:hAnsi="楷体" w:cs="Arial" w:hint="eastAsia"/>
          <w:color w:val="000000"/>
          <w:sz w:val="32"/>
          <w:szCs w:val="32"/>
        </w:rPr>
        <w:t>（四）</w:t>
      </w:r>
      <w:r w:rsidRPr="00EA321F">
        <w:rPr>
          <w:rFonts w:ascii="楷体" w:eastAsia="楷体" w:hAnsi="楷体" w:cs="Arial" w:hint="eastAsia"/>
          <w:b/>
          <w:color w:val="000000"/>
          <w:sz w:val="32"/>
          <w:szCs w:val="32"/>
        </w:rPr>
        <w:t>扎实做好政策项目绩效评价工作</w:t>
      </w:r>
    </w:p>
    <w:p w:rsidR="00B13AEF" w:rsidRPr="00EA321F" w:rsidRDefault="00B13AEF" w:rsidP="00B13AEF">
      <w:pPr>
        <w:spacing w:line="672" w:lineRule="exact"/>
        <w:ind w:firstLineChars="200" w:firstLine="640"/>
        <w:rPr>
          <w:rFonts w:ascii="仿宋_GB2312" w:eastAsia="仿宋_GB2312" w:hAnsi="仿宋"/>
          <w:sz w:val="32"/>
          <w:szCs w:val="32"/>
        </w:rPr>
      </w:pPr>
      <w:r w:rsidRPr="00EA321F">
        <w:rPr>
          <w:rFonts w:ascii="仿宋_GB2312" w:eastAsia="仿宋_GB2312" w:hAnsi="仿宋_GB2312" w:cs="仿宋_GB2312" w:hint="eastAsia"/>
          <w:sz w:val="32"/>
          <w:szCs w:val="32"/>
        </w:rPr>
        <w:t>一是加大绩效</w:t>
      </w:r>
      <w:proofErr w:type="gramStart"/>
      <w:r w:rsidRPr="00EA321F">
        <w:rPr>
          <w:rFonts w:ascii="仿宋_GB2312" w:eastAsia="仿宋_GB2312" w:hAnsi="仿宋_GB2312" w:cs="仿宋_GB2312" w:hint="eastAsia"/>
          <w:sz w:val="32"/>
          <w:szCs w:val="32"/>
        </w:rPr>
        <w:t>自评价</w:t>
      </w:r>
      <w:proofErr w:type="gramEnd"/>
      <w:r w:rsidRPr="00EA321F">
        <w:rPr>
          <w:rFonts w:ascii="仿宋_GB2312" w:eastAsia="仿宋_GB2312" w:hAnsi="仿宋_GB2312" w:cs="仿宋_GB2312" w:hint="eastAsia"/>
          <w:sz w:val="32"/>
          <w:szCs w:val="32"/>
        </w:rPr>
        <w:t>力度，组织210个预算单位对659个项目</w:t>
      </w:r>
      <w:proofErr w:type="gramStart"/>
      <w:r w:rsidRPr="00EA321F">
        <w:rPr>
          <w:rFonts w:ascii="仿宋_GB2312" w:eastAsia="仿宋_GB2312" w:hAnsi="仿宋_GB2312" w:cs="仿宋_GB2312" w:hint="eastAsia"/>
          <w:sz w:val="32"/>
          <w:szCs w:val="32"/>
        </w:rPr>
        <w:t>实施自评价</w:t>
      </w:r>
      <w:proofErr w:type="gramEnd"/>
      <w:r w:rsidRPr="00EA321F">
        <w:rPr>
          <w:rFonts w:ascii="仿宋_GB2312" w:eastAsia="仿宋_GB2312" w:hAnsi="仿宋_GB2312" w:cs="仿宋_GB2312" w:hint="eastAsia"/>
          <w:sz w:val="32"/>
          <w:szCs w:val="32"/>
        </w:rPr>
        <w:t>，比上年增加319个，涉及财政资金49.24亿元，</w:t>
      </w:r>
      <w:r w:rsidRPr="00EA321F">
        <w:rPr>
          <w:rFonts w:ascii="仿宋_GB2312" w:eastAsia="仿宋_GB2312" w:hAnsi="仿宋" w:hint="eastAsia"/>
          <w:sz w:val="32"/>
          <w:szCs w:val="32"/>
        </w:rPr>
        <w:t>组织对市级扶贫资金转移支付进行自评价，涉及资金10.62亿元，</w:t>
      </w:r>
      <w:proofErr w:type="gramStart"/>
      <w:r w:rsidRPr="00EA321F">
        <w:rPr>
          <w:rFonts w:ascii="仿宋_GB2312" w:eastAsia="仿宋_GB2312" w:hAnsi="仿宋" w:hint="eastAsia"/>
          <w:sz w:val="32"/>
          <w:szCs w:val="32"/>
        </w:rPr>
        <w:lastRenderedPageBreak/>
        <w:t>自评价</w:t>
      </w:r>
      <w:proofErr w:type="gramEnd"/>
      <w:r w:rsidRPr="00EA321F">
        <w:rPr>
          <w:rFonts w:ascii="仿宋_GB2312" w:eastAsia="仿宋_GB2312" w:hAnsi="仿宋" w:hint="eastAsia"/>
          <w:sz w:val="32"/>
          <w:szCs w:val="32"/>
        </w:rPr>
        <w:t>项目金额</w:t>
      </w:r>
      <w:r w:rsidRPr="00EA321F">
        <w:rPr>
          <w:rFonts w:ascii="仿宋_GB2312" w:eastAsia="仿宋_GB2312" w:hAnsi="仿宋_GB2312" w:cs="仿宋_GB2312" w:hint="eastAsia"/>
          <w:sz w:val="32"/>
          <w:szCs w:val="32"/>
        </w:rPr>
        <w:t>占2020年项目支出的82.7%，要求预算单位从</w:t>
      </w:r>
      <w:r w:rsidRPr="00EA321F">
        <w:rPr>
          <w:rFonts w:ascii="仿宋_GB2312" w:eastAsia="仿宋_GB2312" w:hAnsi="仿宋" w:hint="eastAsia"/>
          <w:sz w:val="32"/>
          <w:szCs w:val="32"/>
        </w:rPr>
        <w:t>项目支出的经济性、效率性、效益性和公平性进行客观、公正的测量、分析和评判。二是组织对</w:t>
      </w:r>
      <w:r w:rsidRPr="00EA321F">
        <w:rPr>
          <w:rFonts w:ascii="仿宋_GB2312" w:eastAsia="仿宋_GB2312" w:hAnsi="仿宋" w:hint="eastAsia"/>
          <w:spacing w:val="4"/>
          <w:sz w:val="32"/>
          <w:szCs w:val="32"/>
        </w:rPr>
        <w:t>部门单位</w:t>
      </w:r>
      <w:proofErr w:type="gramStart"/>
      <w:r w:rsidRPr="00EA321F">
        <w:rPr>
          <w:rFonts w:ascii="仿宋_GB2312" w:eastAsia="仿宋_GB2312" w:hAnsi="仿宋_GB2312" w:cs="仿宋_GB2312" w:hint="eastAsia"/>
          <w:sz w:val="32"/>
          <w:szCs w:val="32"/>
        </w:rPr>
        <w:t>自评价</w:t>
      </w:r>
      <w:proofErr w:type="gramEnd"/>
      <w:r w:rsidRPr="00EA321F">
        <w:rPr>
          <w:rFonts w:ascii="仿宋_GB2312" w:eastAsia="仿宋_GB2312" w:hAnsi="仿宋_GB2312" w:cs="仿宋_GB2312" w:hint="eastAsia"/>
          <w:sz w:val="32"/>
          <w:szCs w:val="32"/>
        </w:rPr>
        <w:t>结果进行抽查复核。涉及部</w:t>
      </w:r>
      <w:r w:rsidRPr="00EA321F">
        <w:rPr>
          <w:rFonts w:ascii="仿宋_GB2312" w:eastAsia="仿宋_GB2312" w:hAnsi="仿宋_GB2312" w:cs="仿宋_GB2312" w:hint="eastAsia"/>
          <w:sz w:val="32"/>
          <w:szCs w:val="32"/>
          <w:shd w:val="clear" w:color="auto" w:fill="FFFFFF"/>
        </w:rPr>
        <w:t>门单位98个，占自评单位46.7%，涉及资金9.65亿元，占绩效</w:t>
      </w:r>
      <w:proofErr w:type="gramStart"/>
      <w:r w:rsidRPr="00EA321F">
        <w:rPr>
          <w:rFonts w:ascii="仿宋_GB2312" w:eastAsia="仿宋_GB2312" w:hAnsi="仿宋_GB2312" w:cs="仿宋_GB2312" w:hint="eastAsia"/>
          <w:sz w:val="32"/>
          <w:szCs w:val="32"/>
          <w:shd w:val="clear" w:color="auto" w:fill="FFFFFF"/>
        </w:rPr>
        <w:t>自评价</w:t>
      </w:r>
      <w:proofErr w:type="gramEnd"/>
      <w:r w:rsidRPr="00EA321F">
        <w:rPr>
          <w:rFonts w:ascii="仿宋_GB2312" w:eastAsia="仿宋_GB2312" w:hAnsi="仿宋_GB2312" w:cs="仿宋_GB2312" w:hint="eastAsia"/>
          <w:sz w:val="32"/>
          <w:szCs w:val="32"/>
          <w:shd w:val="clear" w:color="auto" w:fill="FFFFFF"/>
        </w:rPr>
        <w:t>金额的19.6%。将抽查复核的结果通报并反馈给各部门单位，对发现的问题及时督促整改。三</w:t>
      </w:r>
      <w:r w:rsidRPr="00EA321F">
        <w:rPr>
          <w:rFonts w:eastAsia="仿宋_GB2312" w:hint="eastAsia"/>
          <w:sz w:val="32"/>
        </w:rPr>
        <w:t>是</w:t>
      </w:r>
      <w:r w:rsidRPr="00EA321F">
        <w:rPr>
          <w:rFonts w:ascii="仿宋_GB2312" w:eastAsia="仿宋_GB2312" w:hAnsi="仿宋_GB2312" w:cs="仿宋_GB2312" w:hint="eastAsia"/>
          <w:sz w:val="32"/>
          <w:szCs w:val="32"/>
        </w:rPr>
        <w:t>重点绩效评价稳步推进，通过竞争性磋商方式委托第三方机构对</w:t>
      </w:r>
      <w:r w:rsidRPr="00EA321F">
        <w:rPr>
          <w:rFonts w:ascii="仿宋_GB2312" w:eastAsia="仿宋_GB2312" w:hAnsi="楷体" w:cs="仿宋" w:hint="eastAsia"/>
          <w:sz w:val="32"/>
          <w:szCs w:val="32"/>
        </w:rPr>
        <w:t>2020年度市本级预算安排的重点项目或重大民生项目</w:t>
      </w:r>
      <w:r w:rsidRPr="00EA321F">
        <w:rPr>
          <w:rFonts w:ascii="仿宋_GB2312" w:eastAsia="仿宋_GB2312" w:hAnsi="仿宋" w:hint="eastAsia"/>
          <w:sz w:val="32"/>
          <w:szCs w:val="32"/>
        </w:rPr>
        <w:t>实施重点绩效评价，涉及项目</w:t>
      </w:r>
      <w:r w:rsidRPr="00EA321F">
        <w:rPr>
          <w:rFonts w:ascii="仿宋_GB2312" w:eastAsia="仿宋_GB2312" w:hAnsi="楷体" w:cs="仿宋" w:hint="eastAsia"/>
          <w:sz w:val="32"/>
          <w:szCs w:val="32"/>
        </w:rPr>
        <w:t>26个，财政资金21.13亿元。同时，对评价过程进行跟踪指导，对第三方机构出具的评价报告进行评审，规范指导第三方机构参与绩效管理，提升绩效评价工作质量</w:t>
      </w:r>
      <w:r w:rsidRPr="00EA321F">
        <w:rPr>
          <w:rFonts w:ascii="仿宋_GB2312" w:eastAsia="仿宋_GB2312" w:hAnsi="仿宋" w:hint="eastAsia"/>
          <w:sz w:val="32"/>
          <w:szCs w:val="32"/>
        </w:rPr>
        <w:t>。</w:t>
      </w:r>
    </w:p>
    <w:p w:rsidR="00B13AEF" w:rsidRPr="00EA321F" w:rsidRDefault="00B13AEF" w:rsidP="00B13AEF">
      <w:pPr>
        <w:pStyle w:val="20"/>
        <w:ind w:leftChars="0" w:left="0" w:firstLine="640"/>
      </w:pPr>
      <w:r w:rsidRPr="00EA321F">
        <w:rPr>
          <w:rFonts w:ascii="仿宋_GB2312" w:eastAsia="仿宋_GB2312" w:hAnsi="仿宋_GB2312" w:cs="仿宋_GB2312" w:hint="eastAsia"/>
          <w:sz w:val="32"/>
          <w:szCs w:val="32"/>
        </w:rPr>
        <w:t>2020年度财政项目支出重点绩效评价结果见下表：</w:t>
      </w:r>
    </w:p>
    <w:tbl>
      <w:tblPr>
        <w:tblW w:w="8505" w:type="dxa"/>
        <w:tblLayout w:type="fixed"/>
        <w:tblCellMar>
          <w:left w:w="0" w:type="dxa"/>
          <w:right w:w="0" w:type="dxa"/>
        </w:tblCellMar>
        <w:tblLook w:val="04A0" w:firstRow="1" w:lastRow="0" w:firstColumn="1" w:lastColumn="0" w:noHBand="0" w:noVBand="1"/>
      </w:tblPr>
      <w:tblGrid>
        <w:gridCol w:w="600"/>
        <w:gridCol w:w="1770"/>
        <w:gridCol w:w="1770"/>
        <w:gridCol w:w="1380"/>
        <w:gridCol w:w="1905"/>
        <w:gridCol w:w="1080"/>
      </w:tblGrid>
      <w:tr w:rsidR="00B13AEF" w:rsidTr="006B4FE7">
        <w:trPr>
          <w:trHeight w:val="270"/>
        </w:trPr>
        <w:tc>
          <w:tcPr>
            <w:tcW w:w="8505" w:type="dxa"/>
            <w:gridSpan w:val="6"/>
            <w:tcBorders>
              <w:top w:val="nil"/>
              <w:left w:val="nil"/>
              <w:bottom w:val="nil"/>
              <w:right w:val="nil"/>
            </w:tcBorders>
            <w:shd w:val="clear" w:color="auto" w:fill="FFFFFF"/>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2020年度重点项目支出绩效评价结果表</w:t>
            </w:r>
          </w:p>
        </w:tc>
      </w:tr>
      <w:tr w:rsidR="00B13AEF" w:rsidTr="006B4FE7">
        <w:trPr>
          <w:trHeight w:val="315"/>
        </w:trPr>
        <w:tc>
          <w:tcPr>
            <w:tcW w:w="600" w:type="dxa"/>
            <w:tcBorders>
              <w:top w:val="nil"/>
              <w:left w:val="nil"/>
              <w:bottom w:val="nil"/>
              <w:right w:val="nil"/>
            </w:tcBorders>
            <w:shd w:val="clear" w:color="auto" w:fill="FFFFFF"/>
            <w:tcMar>
              <w:top w:w="15" w:type="dxa"/>
              <w:left w:w="15" w:type="dxa"/>
              <w:right w:w="15" w:type="dxa"/>
            </w:tcMar>
            <w:vAlign w:val="center"/>
          </w:tcPr>
          <w:p w:rsidR="00B13AEF" w:rsidRDefault="00B13AEF" w:rsidP="006B4FE7">
            <w:pPr>
              <w:jc w:val="center"/>
              <w:rPr>
                <w:rFonts w:ascii="宋体" w:eastAsia="宋体" w:hAnsi="宋体" w:cs="宋体"/>
                <w:color w:val="000000"/>
                <w:sz w:val="24"/>
              </w:rPr>
            </w:pPr>
          </w:p>
        </w:tc>
        <w:tc>
          <w:tcPr>
            <w:tcW w:w="1770" w:type="dxa"/>
            <w:tcBorders>
              <w:top w:val="nil"/>
              <w:left w:val="nil"/>
              <w:bottom w:val="nil"/>
              <w:right w:val="nil"/>
            </w:tcBorders>
            <w:shd w:val="clear" w:color="auto" w:fill="auto"/>
            <w:tcMar>
              <w:top w:w="15" w:type="dxa"/>
              <w:left w:w="15" w:type="dxa"/>
              <w:right w:w="15" w:type="dxa"/>
            </w:tcMar>
            <w:vAlign w:val="center"/>
          </w:tcPr>
          <w:p w:rsidR="00B13AEF" w:rsidRDefault="00B13AEF" w:rsidP="006B4FE7">
            <w:pPr>
              <w:jc w:val="center"/>
              <w:rPr>
                <w:rFonts w:ascii="宋体" w:eastAsia="宋体" w:hAnsi="宋体" w:cs="宋体"/>
                <w:color w:val="000000"/>
                <w:sz w:val="24"/>
              </w:rPr>
            </w:pPr>
          </w:p>
        </w:tc>
        <w:tc>
          <w:tcPr>
            <w:tcW w:w="1770" w:type="dxa"/>
            <w:tcBorders>
              <w:top w:val="nil"/>
              <w:left w:val="nil"/>
              <w:bottom w:val="nil"/>
              <w:right w:val="nil"/>
            </w:tcBorders>
            <w:shd w:val="clear" w:color="auto" w:fill="FFFFFF"/>
            <w:tcMar>
              <w:top w:w="15" w:type="dxa"/>
              <w:left w:w="15" w:type="dxa"/>
              <w:right w:w="15" w:type="dxa"/>
            </w:tcMar>
            <w:vAlign w:val="center"/>
          </w:tcPr>
          <w:p w:rsidR="00B13AEF" w:rsidRDefault="00B13AEF" w:rsidP="006B4FE7">
            <w:pPr>
              <w:jc w:val="center"/>
              <w:rPr>
                <w:rFonts w:ascii="宋体" w:eastAsia="宋体" w:hAnsi="宋体" w:cs="宋体"/>
                <w:color w:val="000000"/>
                <w:sz w:val="24"/>
              </w:rPr>
            </w:pPr>
          </w:p>
        </w:tc>
        <w:tc>
          <w:tcPr>
            <w:tcW w:w="1380" w:type="dxa"/>
            <w:tcBorders>
              <w:top w:val="nil"/>
              <w:left w:val="nil"/>
              <w:bottom w:val="nil"/>
              <w:right w:val="nil"/>
            </w:tcBorders>
            <w:shd w:val="clear" w:color="auto" w:fill="FFFFFF"/>
            <w:tcMar>
              <w:top w:w="15" w:type="dxa"/>
              <w:left w:w="15" w:type="dxa"/>
              <w:right w:w="15" w:type="dxa"/>
            </w:tcMar>
            <w:vAlign w:val="center"/>
          </w:tcPr>
          <w:p w:rsidR="00B13AEF" w:rsidRDefault="00B13AEF" w:rsidP="006B4FE7">
            <w:pPr>
              <w:jc w:val="center"/>
              <w:rPr>
                <w:rFonts w:ascii="宋体" w:eastAsia="宋体" w:hAnsi="宋体" w:cs="宋体"/>
                <w:color w:val="000000"/>
                <w:sz w:val="24"/>
              </w:rPr>
            </w:pPr>
          </w:p>
        </w:tc>
        <w:tc>
          <w:tcPr>
            <w:tcW w:w="2985" w:type="dxa"/>
            <w:gridSpan w:val="2"/>
            <w:tcBorders>
              <w:top w:val="nil"/>
              <w:left w:val="nil"/>
              <w:bottom w:val="nil"/>
              <w:right w:val="nil"/>
            </w:tcBorders>
            <w:shd w:val="clear" w:color="auto" w:fill="FFFFFF"/>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单位：万元</w:t>
            </w:r>
          </w:p>
        </w:tc>
      </w:tr>
      <w:tr w:rsidR="00B13AEF" w:rsidTr="006B4FE7">
        <w:trPr>
          <w:trHeight w:val="455"/>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序号</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项目名称</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承办单位</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年度预算金额</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评价机构</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评价得分</w:t>
            </w:r>
          </w:p>
        </w:tc>
      </w:tr>
      <w:tr w:rsidR="00B13AEF" w:rsidTr="006B4FE7">
        <w:trPr>
          <w:trHeight w:val="45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市直单位办公用房维修费</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长治市直属机关事务管理局</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1114.54</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山西永义会计师</w:t>
            </w:r>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92.1</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事务所有限公司</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69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市属国有“僵尸企业”职工社会保险费用</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长治市工业和信息化局</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4480</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山西中</w:t>
            </w:r>
            <w:proofErr w:type="gramStart"/>
            <w:r>
              <w:rPr>
                <w:rFonts w:ascii="宋体" w:eastAsia="宋体" w:hAnsi="宋体" w:cs="宋体" w:hint="eastAsia"/>
                <w:color w:val="000000"/>
                <w:kern w:val="0"/>
                <w:sz w:val="20"/>
                <w:szCs w:val="20"/>
                <w:lang w:bidi="ar"/>
              </w:rPr>
              <w:t>汇资产</w:t>
            </w:r>
            <w:proofErr w:type="gramEnd"/>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91.61</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评估有限公司</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93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2020年建档立</w:t>
            </w:r>
            <w:proofErr w:type="gramStart"/>
            <w:r>
              <w:rPr>
                <w:rFonts w:ascii="宋体" w:eastAsia="宋体" w:hAnsi="宋体" w:cs="宋体" w:hint="eastAsia"/>
                <w:color w:val="000000"/>
                <w:kern w:val="0"/>
                <w:sz w:val="20"/>
                <w:szCs w:val="20"/>
                <w:lang w:bidi="ar"/>
              </w:rPr>
              <w:t>卡贫困</w:t>
            </w:r>
            <w:proofErr w:type="gramEnd"/>
            <w:r>
              <w:rPr>
                <w:rFonts w:ascii="宋体" w:eastAsia="宋体" w:hAnsi="宋体" w:cs="宋体" w:hint="eastAsia"/>
                <w:color w:val="000000"/>
                <w:kern w:val="0"/>
                <w:sz w:val="20"/>
                <w:szCs w:val="20"/>
                <w:lang w:bidi="ar"/>
              </w:rPr>
              <w:t>人口补充医疗保险省级补助资金</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长治市医疗保障局</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1330.21</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山西万佳立信资产</w:t>
            </w:r>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91.53</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评估有限公司</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45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4</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高层次人才生活、购房、租房补贴</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中国共产党长治市委员会组织部</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688.4</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山西万佳立信资产</w:t>
            </w:r>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90.75</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评估有限公司</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45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三河一渠管护费</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长治市住房和城乡建设局</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800</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山西伍纬绩效</w:t>
            </w:r>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90.67</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管理咨询有限公司</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69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2019年度取暖季天然气购销价格倒挂补贴</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长治市发展和改革委员会</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960.84</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山西开</w:t>
            </w:r>
            <w:proofErr w:type="gramStart"/>
            <w:r>
              <w:rPr>
                <w:rFonts w:ascii="宋体" w:eastAsia="宋体" w:hAnsi="宋体" w:cs="宋体" w:hint="eastAsia"/>
                <w:color w:val="000000"/>
                <w:kern w:val="0"/>
                <w:sz w:val="20"/>
                <w:szCs w:val="20"/>
                <w:lang w:bidi="ar"/>
              </w:rPr>
              <w:t>永资产</w:t>
            </w:r>
            <w:proofErr w:type="gramEnd"/>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88.5</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评估事务所</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30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体校新建搬迁项目经费</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长治市体育局</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1700</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山西永义会计师</w:t>
            </w:r>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88.28</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事务所有限公司</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93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沟西村生活垃圾非正规填埋点原位修复治理工程资金</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长治市住房和城乡建设局</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2494.46</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长治市诚信资产</w:t>
            </w:r>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87.55</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评估有限公司</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45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2020年航线补贴款</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山西航空产业集团有限公司</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18000</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山西伍纬绩效管理</w:t>
            </w:r>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87.33</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咨询有限公司</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45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2020年节能减排中央补助资金</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长治市交通运输局</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4400</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山西合创管理</w:t>
            </w:r>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87</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咨询有限公司</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45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黑臭水体项目资金</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长治市住房和城乡建设局</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15318.88</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长治市预算</w:t>
            </w:r>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86.89</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评审中心</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69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2018-2019年</w:t>
            </w:r>
            <w:proofErr w:type="gramStart"/>
            <w:r>
              <w:rPr>
                <w:rFonts w:ascii="宋体" w:eastAsia="宋体" w:hAnsi="宋体" w:cs="宋体" w:hint="eastAsia"/>
                <w:color w:val="000000"/>
                <w:kern w:val="0"/>
                <w:sz w:val="20"/>
                <w:szCs w:val="20"/>
                <w:lang w:bidi="ar"/>
              </w:rPr>
              <w:t>煤改电</w:t>
            </w:r>
            <w:proofErr w:type="gramEnd"/>
            <w:r>
              <w:rPr>
                <w:rFonts w:ascii="宋体" w:eastAsia="宋体" w:hAnsi="宋体" w:cs="宋体" w:hint="eastAsia"/>
                <w:color w:val="000000"/>
                <w:kern w:val="0"/>
                <w:sz w:val="20"/>
                <w:szCs w:val="20"/>
                <w:lang w:bidi="ar"/>
              </w:rPr>
              <w:t>配套电网工程补贴资金</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长治市发展和改革委员会</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4753.33</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山西开</w:t>
            </w:r>
            <w:proofErr w:type="gramStart"/>
            <w:r>
              <w:rPr>
                <w:rFonts w:ascii="宋体" w:eastAsia="宋体" w:hAnsi="宋体" w:cs="宋体" w:hint="eastAsia"/>
                <w:color w:val="000000"/>
                <w:kern w:val="0"/>
                <w:sz w:val="20"/>
                <w:szCs w:val="20"/>
                <w:lang w:bidi="ar"/>
              </w:rPr>
              <w:t>永资产</w:t>
            </w:r>
            <w:proofErr w:type="gramEnd"/>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86.84</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评估事务所</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69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污水处理PPP项目特许经营服务费</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长治市住房和城乡建设局</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11313.23</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污水处理PPP项目</w:t>
            </w:r>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85.43</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特许经营服务费</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93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中央大气（第二批）固定垂直、水平式遥感设备购置</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长治市机动车排气污染防治检测中心</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山西国元资产</w:t>
            </w:r>
            <w:proofErr w:type="gramEnd"/>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85.29</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评估有限公司</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69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中央支持应急物资保障体系建设补助资金</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长治市工业和信息化局</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921.09</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山西信捷绩效</w:t>
            </w:r>
            <w:proofErr w:type="gramEnd"/>
            <w:r>
              <w:rPr>
                <w:rFonts w:ascii="宋体" w:eastAsia="宋体" w:hAnsi="宋体" w:cs="宋体" w:hint="eastAsia"/>
                <w:color w:val="000000"/>
                <w:kern w:val="0"/>
                <w:sz w:val="20"/>
                <w:szCs w:val="20"/>
                <w:lang w:bidi="ar"/>
              </w:rPr>
              <w:t>管理</w:t>
            </w:r>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84.7</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咨询有限公司</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30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城际旅游公交运营补助</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长治市交通运输局</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1720.43</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山西合创管理</w:t>
            </w:r>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82.95</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咨询有限公司</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45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职业高中学校设施</w:t>
            </w:r>
            <w:r>
              <w:rPr>
                <w:rFonts w:ascii="宋体" w:eastAsia="宋体" w:hAnsi="宋体" w:cs="宋体" w:hint="eastAsia"/>
                <w:color w:val="000000"/>
                <w:kern w:val="0"/>
                <w:sz w:val="20"/>
                <w:szCs w:val="20"/>
                <w:lang w:bidi="ar"/>
              </w:rPr>
              <w:lastRenderedPageBreak/>
              <w:t>设备购置资金</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长治市第二职业高</w:t>
            </w:r>
            <w:r>
              <w:rPr>
                <w:rFonts w:ascii="宋体" w:eastAsia="宋体" w:hAnsi="宋体" w:cs="宋体" w:hint="eastAsia"/>
                <w:color w:val="000000"/>
                <w:kern w:val="0"/>
                <w:sz w:val="20"/>
                <w:szCs w:val="20"/>
                <w:lang w:bidi="ar"/>
              </w:rPr>
              <w:lastRenderedPageBreak/>
              <w:t>级中学校</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2942</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山西国元资产</w:t>
            </w:r>
            <w:proofErr w:type="gramEnd"/>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81.75</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评估有限公司</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45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18</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贫困地区村文化活动室设备购置</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长治市文化和旅游局</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560</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山西国元资产</w:t>
            </w:r>
            <w:proofErr w:type="gramEnd"/>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81.68</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评估有限公司</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455"/>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“两下两进两拆</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提升”攻坚行动专项经费</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长治市城市管理局</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4184.23</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长治市佳信资产评估</w:t>
            </w:r>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81.15</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财务咨询有限公司</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45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市级科学技术研究与开发专项经费</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长治市科学技术局</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1605</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长治市佳信资产评估</w:t>
            </w:r>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80.72</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财务咨询有限公司</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38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市公安机关及监管场所维修维护</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长治市公安局</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661.37</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长治市财政</w:t>
            </w:r>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80.5</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保障中心</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305"/>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太行公园景观提升建设项目</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长治市园林服务中心</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1800</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长治市预算</w:t>
            </w:r>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74</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评审中心</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45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施</w:t>
            </w:r>
            <w:proofErr w:type="gramStart"/>
            <w:r>
              <w:rPr>
                <w:rFonts w:ascii="宋体" w:eastAsia="宋体" w:hAnsi="宋体" w:cs="宋体" w:hint="eastAsia"/>
                <w:color w:val="000000"/>
                <w:kern w:val="0"/>
                <w:sz w:val="20"/>
                <w:szCs w:val="20"/>
                <w:lang w:bidi="ar"/>
              </w:rPr>
              <w:t>划道路</w:t>
            </w:r>
            <w:proofErr w:type="gramEnd"/>
            <w:r>
              <w:rPr>
                <w:rFonts w:ascii="宋体" w:eastAsia="宋体" w:hAnsi="宋体" w:cs="宋体" w:hint="eastAsia"/>
                <w:color w:val="000000"/>
                <w:kern w:val="0"/>
                <w:sz w:val="20"/>
                <w:szCs w:val="20"/>
                <w:lang w:bidi="ar"/>
              </w:rPr>
              <w:t>标线</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长治市公安局交通警察支队</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795</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山西信捷绩效</w:t>
            </w:r>
            <w:proofErr w:type="gramEnd"/>
            <w:r>
              <w:rPr>
                <w:rFonts w:ascii="宋体" w:eastAsia="宋体" w:hAnsi="宋体" w:cs="宋体" w:hint="eastAsia"/>
                <w:color w:val="000000"/>
                <w:kern w:val="0"/>
                <w:sz w:val="20"/>
                <w:szCs w:val="20"/>
                <w:lang w:bidi="ar"/>
              </w:rPr>
              <w:t>管理</w:t>
            </w:r>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73.21</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咨询有限公司</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30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24</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国资经营监管工作经费</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长治市工业和信息化局</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295</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山西中</w:t>
            </w:r>
            <w:proofErr w:type="gramStart"/>
            <w:r>
              <w:rPr>
                <w:rFonts w:ascii="宋体" w:eastAsia="宋体" w:hAnsi="宋体" w:cs="宋体" w:hint="eastAsia"/>
                <w:color w:val="000000"/>
                <w:kern w:val="0"/>
                <w:sz w:val="20"/>
                <w:szCs w:val="20"/>
                <w:lang w:bidi="ar"/>
              </w:rPr>
              <w:t>汇资产</w:t>
            </w:r>
            <w:proofErr w:type="gramEnd"/>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64.95</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评估有限公司</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450"/>
        </w:trPr>
        <w:tc>
          <w:tcPr>
            <w:tcW w:w="600"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新能源电动公交车运营绩效</w:t>
            </w:r>
          </w:p>
        </w:tc>
        <w:tc>
          <w:tcPr>
            <w:tcW w:w="17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长治市公共交通总公司</w:t>
            </w:r>
          </w:p>
        </w:tc>
        <w:tc>
          <w:tcPr>
            <w:tcW w:w="13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21246.4</w:t>
            </w:r>
          </w:p>
        </w:tc>
        <w:tc>
          <w:tcPr>
            <w:tcW w:w="1905" w:type="dxa"/>
            <w:tcBorders>
              <w:top w:val="nil"/>
              <w:left w:val="nil"/>
              <w:bottom w:val="nil"/>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山西财智会计师</w:t>
            </w:r>
          </w:p>
        </w:tc>
        <w:tc>
          <w:tcPr>
            <w:tcW w:w="1080"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63.79</w:t>
            </w:r>
          </w:p>
        </w:tc>
      </w:tr>
      <w:tr w:rsidR="00B13AEF" w:rsidTr="006B4FE7">
        <w:trPr>
          <w:trHeight w:val="285"/>
        </w:trPr>
        <w:tc>
          <w:tcPr>
            <w:tcW w:w="600"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7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13AEF" w:rsidRDefault="00B13AEF" w:rsidP="006B4FE7">
            <w:pPr>
              <w:jc w:val="left"/>
              <w:rPr>
                <w:rFonts w:ascii="宋体" w:eastAsia="宋体" w:hAnsi="宋体" w:cs="宋体"/>
                <w:color w:val="000000"/>
                <w:sz w:val="20"/>
                <w:szCs w:val="20"/>
              </w:rPr>
            </w:pPr>
          </w:p>
        </w:tc>
        <w:tc>
          <w:tcPr>
            <w:tcW w:w="13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18"/>
                <w:szCs w:val="18"/>
              </w:rPr>
            </w:pP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事务所</w:t>
            </w:r>
          </w:p>
        </w:tc>
        <w:tc>
          <w:tcPr>
            <w:tcW w:w="1080"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right"/>
              <w:rPr>
                <w:rFonts w:ascii="宋体" w:eastAsia="宋体" w:hAnsi="宋体" w:cs="宋体"/>
                <w:color w:val="000000"/>
                <w:sz w:val="22"/>
                <w:szCs w:val="22"/>
              </w:rPr>
            </w:pPr>
          </w:p>
        </w:tc>
      </w:tr>
      <w:tr w:rsidR="00B13AEF" w:rsidTr="006B4FE7">
        <w:trPr>
          <w:trHeight w:val="300"/>
        </w:trPr>
        <w:tc>
          <w:tcPr>
            <w:tcW w:w="4140" w:type="dxa"/>
            <w:gridSpan w:val="3"/>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合计</w:t>
            </w:r>
          </w:p>
        </w:tc>
        <w:tc>
          <w:tcPr>
            <w:tcW w:w="13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105084.41</w:t>
            </w:r>
          </w:p>
        </w:tc>
        <w:tc>
          <w:tcPr>
            <w:tcW w:w="19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r>
              <w:rPr>
                <w:rFonts w:ascii="宋体" w:eastAsia="宋体" w:hAnsi="宋体" w:cs="宋体" w:hint="eastAsia"/>
                <w:color w:val="000000"/>
                <w:sz w:val="22"/>
                <w:szCs w:val="22"/>
              </w:rPr>
              <w:t>平均分</w:t>
            </w:r>
          </w:p>
        </w:tc>
        <w:tc>
          <w:tcPr>
            <w:tcW w:w="10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83.57</w:t>
            </w:r>
          </w:p>
        </w:tc>
      </w:tr>
    </w:tbl>
    <w:p w:rsidR="00B13AEF" w:rsidRPr="00B13AEF" w:rsidRDefault="00B13AEF" w:rsidP="00B13AEF">
      <w:pPr>
        <w:pStyle w:val="20"/>
        <w:rPr>
          <w:highlight w:val="lightGray"/>
        </w:rPr>
      </w:pPr>
    </w:p>
    <w:p w:rsidR="00B13AEF" w:rsidRPr="00EA321F" w:rsidRDefault="00B13AEF" w:rsidP="00B13AEF">
      <w:pPr>
        <w:spacing w:line="672" w:lineRule="exact"/>
        <w:ind w:firstLineChars="200" w:firstLine="643"/>
        <w:rPr>
          <w:rFonts w:ascii="楷体" w:eastAsia="楷体" w:hAnsi="楷体" w:cs="Arial"/>
          <w:b/>
          <w:bCs/>
          <w:color w:val="000000"/>
          <w:sz w:val="32"/>
          <w:szCs w:val="32"/>
        </w:rPr>
      </w:pPr>
      <w:r w:rsidRPr="00EA321F">
        <w:rPr>
          <w:rFonts w:ascii="楷体" w:eastAsia="楷体" w:hAnsi="楷体" w:cs="Arial" w:hint="eastAsia"/>
          <w:b/>
          <w:bCs/>
          <w:color w:val="000000"/>
          <w:sz w:val="32"/>
          <w:szCs w:val="32"/>
        </w:rPr>
        <w:t>（五）继续推进部门整体绩效评价试点</w:t>
      </w:r>
    </w:p>
    <w:p w:rsidR="00B13AEF" w:rsidRPr="00EA321F" w:rsidRDefault="00B13AEF" w:rsidP="00B13AEF">
      <w:pPr>
        <w:spacing w:line="672" w:lineRule="exact"/>
        <w:ind w:firstLineChars="200" w:firstLine="640"/>
        <w:rPr>
          <w:rFonts w:ascii="仿宋" w:eastAsia="仿宋" w:hAnsi="仿宋"/>
          <w:sz w:val="32"/>
          <w:szCs w:val="32"/>
        </w:rPr>
      </w:pPr>
      <w:r w:rsidRPr="00EA321F">
        <w:rPr>
          <w:rFonts w:ascii="仿宋" w:eastAsia="仿宋" w:hAnsi="仿宋" w:hint="eastAsia"/>
          <w:sz w:val="32"/>
          <w:szCs w:val="32"/>
        </w:rPr>
        <w:t>根据年度绩效管理工作计划和</w:t>
      </w:r>
      <w:r w:rsidRPr="00EA321F">
        <w:rPr>
          <w:rFonts w:eastAsia="仿宋_GB2312" w:hint="eastAsia"/>
          <w:sz w:val="32"/>
        </w:rPr>
        <w:t>市人大财经委实施决算审查要求，对</w:t>
      </w:r>
      <w:r w:rsidRPr="00EA321F">
        <w:rPr>
          <w:rFonts w:ascii="仿宋_GB2312" w:eastAsia="仿宋_GB2312" w:hAnsi="楷体" w:cs="仿宋" w:hint="eastAsia"/>
          <w:sz w:val="32"/>
          <w:szCs w:val="32"/>
        </w:rPr>
        <w:t>市卫生健康委员会、市农业农村局、市规划和自然资源局3个部门开展部门整体支出绩效评价，涉及资金11.54亿元。同时，组织市交通局、市</w:t>
      </w:r>
      <w:proofErr w:type="gramStart"/>
      <w:r w:rsidRPr="00EA321F">
        <w:rPr>
          <w:rFonts w:ascii="仿宋_GB2312" w:eastAsia="仿宋_GB2312" w:hAnsi="楷体" w:cs="仿宋" w:hint="eastAsia"/>
          <w:sz w:val="32"/>
          <w:szCs w:val="32"/>
        </w:rPr>
        <w:t>人社局</w:t>
      </w:r>
      <w:proofErr w:type="gramEnd"/>
      <w:r w:rsidRPr="00EA321F">
        <w:rPr>
          <w:rFonts w:ascii="仿宋_GB2312" w:eastAsia="仿宋_GB2312" w:hAnsi="楷体" w:cs="仿宋" w:hint="eastAsia"/>
          <w:sz w:val="32"/>
          <w:szCs w:val="32"/>
        </w:rPr>
        <w:t>、市园林服务中心3个部门，开展部门整体支出绩效</w:t>
      </w:r>
      <w:proofErr w:type="gramStart"/>
      <w:r w:rsidRPr="00EA321F">
        <w:rPr>
          <w:rFonts w:ascii="仿宋_GB2312" w:eastAsia="仿宋_GB2312" w:hAnsi="楷体" w:cs="仿宋" w:hint="eastAsia"/>
          <w:sz w:val="32"/>
          <w:szCs w:val="32"/>
        </w:rPr>
        <w:t>自评价</w:t>
      </w:r>
      <w:proofErr w:type="gramEnd"/>
      <w:r w:rsidRPr="00EA321F">
        <w:rPr>
          <w:rFonts w:ascii="仿宋_GB2312" w:eastAsia="仿宋_GB2312" w:hAnsi="楷体" w:cs="仿宋" w:hint="eastAsia"/>
          <w:sz w:val="32"/>
          <w:szCs w:val="32"/>
        </w:rPr>
        <w:t>试点，</w:t>
      </w:r>
      <w:r w:rsidRPr="00EA321F">
        <w:rPr>
          <w:rFonts w:ascii="仿宋" w:eastAsia="仿宋" w:hAnsi="仿宋" w:hint="eastAsia"/>
          <w:sz w:val="32"/>
          <w:szCs w:val="32"/>
        </w:rPr>
        <w:t>有效增强预算部门对预算编制、执行、监督与绩效管理全过程管理的意识和能力，提高财政资金使用效益，促进预算部门更好地履职尽责。</w:t>
      </w:r>
    </w:p>
    <w:tbl>
      <w:tblPr>
        <w:tblW w:w="8925" w:type="dxa"/>
        <w:tblCellMar>
          <w:left w:w="0" w:type="dxa"/>
          <w:right w:w="0" w:type="dxa"/>
        </w:tblCellMar>
        <w:tblLook w:val="04A0" w:firstRow="1" w:lastRow="0" w:firstColumn="1" w:lastColumn="0" w:noHBand="0" w:noVBand="1"/>
      </w:tblPr>
      <w:tblGrid>
        <w:gridCol w:w="600"/>
        <w:gridCol w:w="2295"/>
        <w:gridCol w:w="1080"/>
        <w:gridCol w:w="3060"/>
        <w:gridCol w:w="1890"/>
      </w:tblGrid>
      <w:tr w:rsidR="00B13AEF" w:rsidTr="006B4FE7">
        <w:trPr>
          <w:trHeight w:val="270"/>
        </w:trPr>
        <w:tc>
          <w:tcPr>
            <w:tcW w:w="8925" w:type="dxa"/>
            <w:gridSpan w:val="5"/>
            <w:tcBorders>
              <w:top w:val="nil"/>
              <w:left w:val="nil"/>
              <w:bottom w:val="nil"/>
              <w:right w:val="nil"/>
            </w:tcBorders>
            <w:shd w:val="clear" w:color="auto" w:fill="FFFFFF"/>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lastRenderedPageBreak/>
              <w:t>2020年度部门整体支出绩效评价结果表</w:t>
            </w:r>
          </w:p>
        </w:tc>
      </w:tr>
      <w:tr w:rsidR="00B13AEF" w:rsidTr="006B4FE7">
        <w:trPr>
          <w:trHeight w:val="285"/>
        </w:trPr>
        <w:tc>
          <w:tcPr>
            <w:tcW w:w="600" w:type="dxa"/>
            <w:tcBorders>
              <w:top w:val="nil"/>
              <w:left w:val="nil"/>
              <w:bottom w:val="nil"/>
              <w:right w:val="nil"/>
            </w:tcBorders>
            <w:shd w:val="clear" w:color="auto" w:fill="FFFFFF"/>
            <w:tcMar>
              <w:top w:w="15" w:type="dxa"/>
              <w:left w:w="15" w:type="dxa"/>
              <w:right w:w="15" w:type="dxa"/>
            </w:tcMar>
            <w:vAlign w:val="center"/>
          </w:tcPr>
          <w:p w:rsidR="00B13AEF" w:rsidRDefault="00B13AEF" w:rsidP="006B4FE7">
            <w:pPr>
              <w:jc w:val="center"/>
              <w:rPr>
                <w:rFonts w:ascii="宋体" w:eastAsia="宋体" w:hAnsi="宋体" w:cs="宋体"/>
                <w:color w:val="000000"/>
                <w:sz w:val="24"/>
              </w:rPr>
            </w:pPr>
          </w:p>
        </w:tc>
        <w:tc>
          <w:tcPr>
            <w:tcW w:w="2295" w:type="dxa"/>
            <w:tcBorders>
              <w:top w:val="nil"/>
              <w:left w:val="nil"/>
              <w:bottom w:val="nil"/>
              <w:right w:val="nil"/>
            </w:tcBorders>
            <w:shd w:val="clear" w:color="auto" w:fill="FFFFFF"/>
            <w:tcMar>
              <w:top w:w="15" w:type="dxa"/>
              <w:left w:w="15" w:type="dxa"/>
              <w:right w:w="15" w:type="dxa"/>
            </w:tcMar>
            <w:vAlign w:val="center"/>
          </w:tcPr>
          <w:p w:rsidR="00B13AEF" w:rsidRDefault="00B13AEF" w:rsidP="006B4FE7">
            <w:pPr>
              <w:jc w:val="center"/>
              <w:rPr>
                <w:rFonts w:ascii="宋体" w:eastAsia="宋体" w:hAnsi="宋体" w:cs="宋体"/>
                <w:color w:val="000000"/>
                <w:sz w:val="24"/>
              </w:rPr>
            </w:pPr>
          </w:p>
        </w:tc>
        <w:tc>
          <w:tcPr>
            <w:tcW w:w="1080" w:type="dxa"/>
            <w:tcBorders>
              <w:top w:val="nil"/>
              <w:left w:val="nil"/>
              <w:bottom w:val="nil"/>
              <w:right w:val="nil"/>
            </w:tcBorders>
            <w:shd w:val="clear" w:color="auto" w:fill="FFFFFF"/>
            <w:tcMar>
              <w:top w:w="15" w:type="dxa"/>
              <w:left w:w="15" w:type="dxa"/>
              <w:right w:w="15" w:type="dxa"/>
            </w:tcMar>
            <w:vAlign w:val="center"/>
          </w:tcPr>
          <w:p w:rsidR="00B13AEF" w:rsidRDefault="00B13AEF" w:rsidP="006B4FE7">
            <w:pPr>
              <w:jc w:val="center"/>
              <w:rPr>
                <w:rFonts w:ascii="宋体" w:eastAsia="宋体" w:hAnsi="宋体" w:cs="宋体"/>
                <w:color w:val="000000"/>
                <w:sz w:val="24"/>
              </w:rPr>
            </w:pPr>
          </w:p>
        </w:tc>
        <w:tc>
          <w:tcPr>
            <w:tcW w:w="4950" w:type="dxa"/>
            <w:gridSpan w:val="2"/>
            <w:tcBorders>
              <w:top w:val="nil"/>
              <w:left w:val="nil"/>
              <w:bottom w:val="nil"/>
              <w:right w:val="nil"/>
            </w:tcBorders>
            <w:shd w:val="clear" w:color="auto" w:fill="FFFFFF"/>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单位：万元</w:t>
            </w:r>
          </w:p>
        </w:tc>
      </w:tr>
      <w:tr w:rsidR="00B13AEF" w:rsidTr="006B4FE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序号</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年度预算金额</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评价机构</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评价得分</w:t>
            </w:r>
          </w:p>
        </w:tc>
      </w:tr>
      <w:tr w:rsidR="00B13AEF" w:rsidTr="006B4FE7">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长治市卫生健康委员会整体支出评价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50778.98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山西晋才会计师事务所有限公司</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88.92</w:t>
            </w:r>
          </w:p>
        </w:tc>
      </w:tr>
      <w:tr w:rsidR="00B13AEF" w:rsidTr="006B4FE7">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长治市农业农村</w:t>
            </w:r>
            <w:proofErr w:type="gramStart"/>
            <w:r>
              <w:rPr>
                <w:rFonts w:ascii="宋体" w:eastAsia="宋体" w:hAnsi="宋体" w:cs="宋体" w:hint="eastAsia"/>
                <w:color w:val="000000"/>
                <w:kern w:val="0"/>
                <w:sz w:val="20"/>
                <w:szCs w:val="20"/>
                <w:lang w:bidi="ar"/>
              </w:rPr>
              <w:t>局整体</w:t>
            </w:r>
            <w:proofErr w:type="gramEnd"/>
            <w:r>
              <w:rPr>
                <w:rFonts w:ascii="宋体" w:eastAsia="宋体" w:hAnsi="宋体" w:cs="宋体" w:hint="eastAsia"/>
                <w:color w:val="000000"/>
                <w:kern w:val="0"/>
                <w:sz w:val="20"/>
                <w:szCs w:val="20"/>
                <w:lang w:bidi="ar"/>
              </w:rPr>
              <w:t>支出评价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5225.81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山西华普绩效管理咨询有限公司</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87.32</w:t>
            </w:r>
          </w:p>
        </w:tc>
      </w:tr>
      <w:tr w:rsidR="00B13AEF" w:rsidTr="006B4FE7">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长治市规划与自然资源</w:t>
            </w:r>
            <w:proofErr w:type="gramStart"/>
            <w:r>
              <w:rPr>
                <w:rFonts w:ascii="宋体" w:eastAsia="宋体" w:hAnsi="宋体" w:cs="宋体" w:hint="eastAsia"/>
                <w:color w:val="000000"/>
                <w:kern w:val="0"/>
                <w:sz w:val="20"/>
                <w:szCs w:val="20"/>
                <w:lang w:bidi="ar"/>
              </w:rPr>
              <w:t>局整体</w:t>
            </w:r>
            <w:proofErr w:type="gramEnd"/>
            <w:r>
              <w:rPr>
                <w:rFonts w:ascii="宋体" w:eastAsia="宋体" w:hAnsi="宋体" w:cs="宋体" w:hint="eastAsia"/>
                <w:color w:val="000000"/>
                <w:kern w:val="0"/>
                <w:sz w:val="20"/>
                <w:szCs w:val="20"/>
                <w:lang w:bidi="ar"/>
              </w:rPr>
              <w:t>支出评价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59412.94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3AEF" w:rsidRDefault="00B13AEF" w:rsidP="006B4F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山西财智会计师事务所</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86.82</w:t>
            </w:r>
          </w:p>
        </w:tc>
      </w:tr>
      <w:tr w:rsidR="00B13AEF" w:rsidTr="006B4FE7">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3AEF" w:rsidRDefault="00B13AEF" w:rsidP="006B4FE7">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115417.73</w:t>
            </w:r>
            <w:r>
              <w:rPr>
                <w:rFonts w:ascii="宋体" w:eastAsia="宋体" w:hAnsi="宋体" w:cs="宋体" w:hint="eastAsia"/>
                <w:color w:val="000000"/>
                <w:kern w:val="0"/>
                <w:sz w:val="22"/>
                <w:szCs w:val="22"/>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3AEF" w:rsidRDefault="00B13AEF" w:rsidP="006B4FE7">
            <w:pPr>
              <w:jc w:val="center"/>
              <w:rPr>
                <w:rFonts w:ascii="宋体" w:eastAsia="宋体" w:hAnsi="宋体" w:cs="宋体"/>
                <w:color w:val="000000"/>
                <w:sz w:val="22"/>
                <w:szCs w:val="22"/>
              </w:rPr>
            </w:pPr>
            <w:r>
              <w:rPr>
                <w:rFonts w:ascii="宋体" w:eastAsia="宋体" w:hAnsi="宋体" w:cs="宋体" w:hint="eastAsia"/>
                <w:color w:val="000000"/>
                <w:sz w:val="22"/>
                <w:szCs w:val="22"/>
              </w:rPr>
              <w:t>平均分</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3AEF" w:rsidRDefault="00B13AEF" w:rsidP="006B4F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87.68</w:t>
            </w:r>
          </w:p>
        </w:tc>
      </w:tr>
    </w:tbl>
    <w:p w:rsidR="00B13AEF" w:rsidRPr="00B13AEF" w:rsidRDefault="00B13AEF" w:rsidP="00B13AEF">
      <w:pPr>
        <w:pStyle w:val="20"/>
        <w:rPr>
          <w:highlight w:val="lightGray"/>
        </w:rPr>
      </w:pPr>
    </w:p>
    <w:p w:rsidR="00B13AEF" w:rsidRPr="00EA321F" w:rsidRDefault="00B13AEF" w:rsidP="00B13AEF">
      <w:pPr>
        <w:pStyle w:val="20"/>
        <w:spacing w:after="0"/>
        <w:ind w:leftChars="0" w:left="0" w:firstLine="643"/>
        <w:rPr>
          <w:rFonts w:ascii="仿宋_GB2312" w:eastAsia="仿宋_GB2312" w:hAnsi="仿宋_GB2312" w:cs="仿宋_GB2312"/>
          <w:color w:val="FF0000"/>
          <w:sz w:val="32"/>
          <w:szCs w:val="32"/>
        </w:rPr>
      </w:pPr>
      <w:r w:rsidRPr="00EA321F">
        <w:rPr>
          <w:rFonts w:ascii="楷体" w:eastAsia="楷体" w:hAnsi="楷体" w:cs="Arial" w:hint="eastAsia"/>
          <w:b/>
          <w:color w:val="000000"/>
          <w:sz w:val="32"/>
          <w:szCs w:val="32"/>
        </w:rPr>
        <w:t>（六）认真组织绩效跟踪监控。</w:t>
      </w:r>
      <w:r w:rsidRPr="00EA321F">
        <w:rPr>
          <w:rFonts w:ascii="仿宋_GB2312" w:eastAsia="仿宋_GB2312" w:hint="eastAsia"/>
          <w:bCs/>
          <w:kern w:val="0"/>
          <w:sz w:val="32"/>
          <w:szCs w:val="32"/>
        </w:rPr>
        <w:t>2021年市直单位绩效运行自行监控项目754个，涉及当年预算资金66.25亿元，占部门预算项目资金69.74%，涉及单位365个。委托第三方开展重点绩效运行监控项目2个，涉及预算资金2.29亿元。从监控结果看，各部门各单位共对绩效目标的7260个绩效指标进行了跟踪，对存在偏差的指标，部门、单位提出了改进措施，确保绩效目标顺利实现，促进财政预算均衡执行。</w:t>
      </w:r>
    </w:p>
    <w:p w:rsidR="00B13AEF" w:rsidRPr="00EA321F" w:rsidRDefault="00B13AEF" w:rsidP="00B13AEF">
      <w:pPr>
        <w:spacing w:line="600" w:lineRule="exact"/>
        <w:ind w:firstLineChars="200" w:firstLine="643"/>
        <w:rPr>
          <w:rFonts w:ascii="仿宋_GB2312" w:eastAsia="仿宋_GB2312" w:hAnsi="仿宋_GB2312" w:cs="仿宋_GB2312"/>
          <w:sz w:val="32"/>
          <w:szCs w:val="32"/>
        </w:rPr>
      </w:pPr>
      <w:r w:rsidRPr="00EA321F">
        <w:rPr>
          <w:rFonts w:ascii="楷体" w:eastAsia="楷体" w:hAnsi="楷体" w:cs="Arial" w:hint="eastAsia"/>
          <w:b/>
          <w:bCs/>
          <w:color w:val="000000"/>
          <w:sz w:val="32"/>
          <w:szCs w:val="32"/>
        </w:rPr>
        <w:t>（七）结果应用落在实处。</w:t>
      </w:r>
      <w:r w:rsidRPr="00EA321F">
        <w:rPr>
          <w:rFonts w:ascii="仿宋_GB2312" w:eastAsia="仿宋_GB2312" w:hAnsi="仿宋_GB2312" w:cs="仿宋_GB2312" w:hint="eastAsia"/>
          <w:sz w:val="32"/>
          <w:szCs w:val="32"/>
        </w:rPr>
        <w:t>着力提升绩效评价结果应用，建立报告、反馈机制和绩效评价结果与预算资金安排有机结合机制。通过召开反馈会，及时将评价结果向被评价单位和财政部门预算管理科室进行反馈，并督促落实。财政局部门预算管理科室将评价结果作为预算执行和下年度预算编制的依据，收回闲置资金1833.12万元，对事前评估的三个项目，根据评估结果，一个项目督促单位修订实施方案后予以支持，一个项目因单位实施方案</w:t>
      </w:r>
      <w:r w:rsidRPr="00EA321F">
        <w:rPr>
          <w:rFonts w:ascii="仿宋_GB2312" w:eastAsia="仿宋_GB2312" w:hAnsi="仿宋_GB2312" w:cs="仿宋_GB2312" w:hint="eastAsia"/>
          <w:sz w:val="32"/>
          <w:szCs w:val="32"/>
        </w:rPr>
        <w:lastRenderedPageBreak/>
        <w:t>修改不到位暂缓执行，一个项目根据评估结果予以取消。向被评价部门和单位反馈绩效评价发现问题127条，整改和结果应用意见建议126条，各部门单位针对反馈意见和建议，积极整改落实，切实规范预算管理和项目管理。</w:t>
      </w:r>
    </w:p>
    <w:p w:rsidR="00B13AEF" w:rsidRPr="00EA321F" w:rsidRDefault="00B13AEF" w:rsidP="00B13AEF">
      <w:pPr>
        <w:spacing w:line="600" w:lineRule="exact"/>
        <w:ind w:firstLineChars="200" w:firstLine="643"/>
        <w:rPr>
          <w:rFonts w:ascii="仿宋_GB2312" w:eastAsia="仿宋_GB2312" w:hAnsi="仿宋_GB2312" w:cs="仿宋_GB2312"/>
          <w:spacing w:val="4"/>
          <w:sz w:val="32"/>
          <w:szCs w:val="32"/>
        </w:rPr>
      </w:pPr>
      <w:r w:rsidRPr="00EA321F">
        <w:rPr>
          <w:rFonts w:ascii="楷体" w:eastAsia="楷体" w:hAnsi="楷体" w:cs="Arial" w:hint="eastAsia"/>
          <w:b/>
          <w:bCs/>
          <w:color w:val="000000"/>
          <w:sz w:val="32"/>
          <w:szCs w:val="32"/>
        </w:rPr>
        <w:t>（八）积极推进绩效信息公开。</w:t>
      </w:r>
      <w:r w:rsidRPr="00EA321F">
        <w:rPr>
          <w:rFonts w:ascii="仿宋_GB2312" w:eastAsia="仿宋_GB2312" w:hAnsi="仿宋_GB2312" w:cs="仿宋_GB2312" w:hint="eastAsia"/>
          <w:sz w:val="32"/>
          <w:szCs w:val="32"/>
        </w:rPr>
        <w:t>在长治市人民政府门户网站“财政信息”公开2021年市本级部门预算和决算时，公开了我市2020年预算绩效管理工作情况和重点项目支出绩效评价结果。部门和单位在公开2021年预算时，同步公开各部门各单位2021年度项目支出绩效目标，公开2020年部门决算时，同步公开部门单位2020年度绩效</w:t>
      </w:r>
      <w:proofErr w:type="gramStart"/>
      <w:r w:rsidRPr="00EA321F">
        <w:rPr>
          <w:rFonts w:ascii="仿宋_GB2312" w:eastAsia="仿宋_GB2312" w:hAnsi="仿宋_GB2312" w:cs="仿宋_GB2312" w:hint="eastAsia"/>
          <w:sz w:val="32"/>
          <w:szCs w:val="32"/>
        </w:rPr>
        <w:t>自评价</w:t>
      </w:r>
      <w:proofErr w:type="gramEnd"/>
      <w:r w:rsidRPr="00EA321F">
        <w:rPr>
          <w:rFonts w:ascii="仿宋_GB2312" w:eastAsia="仿宋_GB2312" w:hAnsi="仿宋_GB2312" w:cs="仿宋_GB2312" w:hint="eastAsia"/>
          <w:sz w:val="32"/>
          <w:szCs w:val="32"/>
        </w:rPr>
        <w:t>情况。</w:t>
      </w:r>
      <w:r w:rsidRPr="00EA321F">
        <w:rPr>
          <w:rFonts w:ascii="仿宋_GB2312" w:eastAsia="仿宋_GB2312" w:hAnsi="仿宋_GB2312" w:cs="仿宋_GB2312" w:hint="eastAsia"/>
          <w:bCs/>
          <w:kern w:val="0"/>
          <w:sz w:val="32"/>
          <w:szCs w:val="32"/>
        </w:rPr>
        <w:t>自觉接受社会各界监督，</w:t>
      </w:r>
      <w:r w:rsidRPr="00EA321F">
        <w:rPr>
          <w:rFonts w:ascii="仿宋_GB2312" w:eastAsia="仿宋_GB2312" w:hAnsi="仿宋_GB2312" w:cs="仿宋_GB2312" w:hint="eastAsia"/>
          <w:spacing w:val="4"/>
          <w:sz w:val="32"/>
          <w:szCs w:val="32"/>
        </w:rPr>
        <w:t>提升预算绩效管理水平。</w:t>
      </w:r>
    </w:p>
    <w:p w:rsidR="00B13AEF" w:rsidRPr="00EA321F" w:rsidRDefault="00B13AEF" w:rsidP="00B13AEF">
      <w:pPr>
        <w:pStyle w:val="20"/>
        <w:ind w:leftChars="0" w:left="0" w:firstLine="643"/>
        <w:rPr>
          <w:rFonts w:ascii="楷体" w:eastAsia="楷体" w:hAnsi="楷体" w:cs="Arial"/>
          <w:b/>
          <w:bCs/>
          <w:color w:val="000000"/>
          <w:sz w:val="32"/>
          <w:szCs w:val="32"/>
        </w:rPr>
      </w:pPr>
      <w:r w:rsidRPr="00EA321F">
        <w:rPr>
          <w:rFonts w:ascii="楷体" w:eastAsia="楷体" w:hAnsi="楷体" w:cs="Arial" w:hint="eastAsia"/>
          <w:b/>
          <w:bCs/>
          <w:color w:val="000000"/>
          <w:sz w:val="32"/>
          <w:szCs w:val="32"/>
        </w:rPr>
        <w:t>（九）督导调研各县区预算绩效管理工作</w:t>
      </w:r>
    </w:p>
    <w:p w:rsidR="00B13AEF" w:rsidRPr="00EA321F" w:rsidRDefault="00B13AEF" w:rsidP="00B13AEF">
      <w:pPr>
        <w:pStyle w:val="20"/>
        <w:ind w:leftChars="0" w:left="0" w:firstLine="640"/>
        <w:rPr>
          <w:rFonts w:ascii="仿宋_GB2312" w:eastAsia="仿宋_GB2312" w:hAnsi="仿宋_GB2312" w:cs="仿宋_GB2312"/>
          <w:sz w:val="32"/>
          <w:szCs w:val="32"/>
        </w:rPr>
      </w:pPr>
      <w:r w:rsidRPr="00EA321F">
        <w:rPr>
          <w:rFonts w:ascii="仿宋_GB2312" w:eastAsia="仿宋_GB2312" w:hAnsi="仿宋_GB2312" w:cs="仿宋_GB2312" w:hint="eastAsia"/>
          <w:sz w:val="32"/>
          <w:szCs w:val="32"/>
        </w:rPr>
        <w:t>11月8日至11月16日深入全市14个县区财政局，对2021年预算绩效管理工作实施情况进行督导调研，从绩效管理制度、绩效目标管理、事前评估机制、绩效跟踪监控、绩效评价、绩效结果应用等方面对县区绩效管理进行指导，确保全市2022年同步实现全面实施“全方位、全过程、全覆盖”预算绩效管理目标。</w:t>
      </w:r>
    </w:p>
    <w:p w:rsidR="00B13AEF" w:rsidRDefault="00B13AEF" w:rsidP="00B13AEF">
      <w:pPr>
        <w:rPr>
          <w:rFonts w:ascii="Times New Roman" w:hAnsi="Times New Roman" w:cs="Times New Roman"/>
        </w:rPr>
      </w:pPr>
    </w:p>
    <w:p w:rsidR="00B13AEF" w:rsidRPr="00EA321F" w:rsidRDefault="00B13AEF" w:rsidP="00B13AEF">
      <w:pPr>
        <w:spacing w:line="600" w:lineRule="exact"/>
        <w:ind w:firstLineChars="200" w:firstLine="420"/>
        <w:rPr>
          <w:rFonts w:ascii="仿宋_GB2312" w:eastAsia="仿宋_GB2312" w:hAnsi="Times New Roman" w:cs="Times New Roman"/>
        </w:rPr>
      </w:pPr>
    </w:p>
    <w:p w:rsidR="00F243C5" w:rsidRPr="00B13AEF" w:rsidRDefault="00F243C5" w:rsidP="00B13AEF">
      <w:pPr>
        <w:spacing w:line="600" w:lineRule="exact"/>
        <w:ind w:firstLineChars="200" w:firstLine="420"/>
        <w:rPr>
          <w:rFonts w:ascii="仿宋_GB2312" w:eastAsia="仿宋_GB2312" w:hAnsi="Times New Roman" w:cs="Times New Roman"/>
        </w:rPr>
      </w:pPr>
      <w:bookmarkStart w:id="1" w:name="_GoBack"/>
      <w:bookmarkEnd w:id="1"/>
    </w:p>
    <w:sectPr w:rsidR="00F243C5" w:rsidRPr="00B13AEF" w:rsidSect="00A56FCD">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0D6" w:rsidRDefault="004E20D6">
      <w:r>
        <w:separator/>
      </w:r>
    </w:p>
  </w:endnote>
  <w:endnote w:type="continuationSeparator" w:id="0">
    <w:p w:rsidR="004E20D6" w:rsidRDefault="004E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161007"/>
    </w:sdtPr>
    <w:sdtEndPr/>
    <w:sdtContent>
      <w:p w:rsidR="004E20D6" w:rsidRDefault="004E20D6">
        <w:pPr>
          <w:pStyle w:val="a7"/>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13AEF" w:rsidRPr="00B13AEF">
          <w:rPr>
            <w:rFonts w:ascii="Times New Roman" w:hAnsi="Times New Roman" w:cs="Times New Roman"/>
            <w:noProof/>
            <w:sz w:val="28"/>
            <w:szCs w:val="28"/>
            <w:lang w:val="zh-CN"/>
          </w:rPr>
          <w:t>10</w:t>
        </w:r>
        <w:r>
          <w:rPr>
            <w:rFonts w:ascii="Times New Roman" w:hAnsi="Times New Roman" w:cs="Times New Roman"/>
            <w:sz w:val="28"/>
            <w:szCs w:val="28"/>
          </w:rPr>
          <w:fldChar w:fldCharType="end"/>
        </w:r>
      </w:p>
    </w:sdtContent>
  </w:sdt>
  <w:p w:rsidR="004E20D6" w:rsidRDefault="004E20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0D6" w:rsidRDefault="004E20D6">
      <w:r>
        <w:separator/>
      </w:r>
    </w:p>
  </w:footnote>
  <w:footnote w:type="continuationSeparator" w:id="0">
    <w:p w:rsidR="004E20D6" w:rsidRDefault="004E2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6DC3F96"/>
    <w:rsid w:val="0006547F"/>
    <w:rsid w:val="000A77E1"/>
    <w:rsid w:val="000C2B9A"/>
    <w:rsid w:val="000D17EA"/>
    <w:rsid w:val="00111450"/>
    <w:rsid w:val="00117E3D"/>
    <w:rsid w:val="0013326C"/>
    <w:rsid w:val="001A667C"/>
    <w:rsid w:val="001C3AF7"/>
    <w:rsid w:val="00220BEE"/>
    <w:rsid w:val="002C5F73"/>
    <w:rsid w:val="002F3C5D"/>
    <w:rsid w:val="0031158F"/>
    <w:rsid w:val="0031529C"/>
    <w:rsid w:val="003522A2"/>
    <w:rsid w:val="003648CE"/>
    <w:rsid w:val="003D7D83"/>
    <w:rsid w:val="00463D24"/>
    <w:rsid w:val="00494F94"/>
    <w:rsid w:val="004E20D6"/>
    <w:rsid w:val="004F3FF1"/>
    <w:rsid w:val="005752F4"/>
    <w:rsid w:val="006F4B74"/>
    <w:rsid w:val="0074648F"/>
    <w:rsid w:val="00797FF9"/>
    <w:rsid w:val="008831E8"/>
    <w:rsid w:val="00897557"/>
    <w:rsid w:val="00971805"/>
    <w:rsid w:val="0097585F"/>
    <w:rsid w:val="00A56FCD"/>
    <w:rsid w:val="00B13AEF"/>
    <w:rsid w:val="00B57B46"/>
    <w:rsid w:val="00BA4335"/>
    <w:rsid w:val="00BE7907"/>
    <w:rsid w:val="00C623F3"/>
    <w:rsid w:val="00D647FE"/>
    <w:rsid w:val="00D651BD"/>
    <w:rsid w:val="00DA30BC"/>
    <w:rsid w:val="00DF58A2"/>
    <w:rsid w:val="00E109C0"/>
    <w:rsid w:val="00E3331B"/>
    <w:rsid w:val="00EA4D70"/>
    <w:rsid w:val="00EA7F89"/>
    <w:rsid w:val="00EC03B6"/>
    <w:rsid w:val="00EE3FA5"/>
    <w:rsid w:val="00F243C5"/>
    <w:rsid w:val="00F74C95"/>
    <w:rsid w:val="00F93F67"/>
    <w:rsid w:val="00FA31EA"/>
    <w:rsid w:val="00FC50C6"/>
    <w:rsid w:val="00FF6A19"/>
    <w:rsid w:val="09CD1D9A"/>
    <w:rsid w:val="142B534F"/>
    <w:rsid w:val="17D93043"/>
    <w:rsid w:val="183D143A"/>
    <w:rsid w:val="188840A1"/>
    <w:rsid w:val="18EE5B5B"/>
    <w:rsid w:val="1A280537"/>
    <w:rsid w:val="1C4A115C"/>
    <w:rsid w:val="1F9B318C"/>
    <w:rsid w:val="201B5638"/>
    <w:rsid w:val="212D1687"/>
    <w:rsid w:val="21D43DDB"/>
    <w:rsid w:val="22B4034F"/>
    <w:rsid w:val="23807A8E"/>
    <w:rsid w:val="270F3FDF"/>
    <w:rsid w:val="2A8070A5"/>
    <w:rsid w:val="2B4E30C6"/>
    <w:rsid w:val="2B99651C"/>
    <w:rsid w:val="2E4D0866"/>
    <w:rsid w:val="2EEA0ED1"/>
    <w:rsid w:val="2F6C243B"/>
    <w:rsid w:val="30264B34"/>
    <w:rsid w:val="30936173"/>
    <w:rsid w:val="31AD1A21"/>
    <w:rsid w:val="36A11504"/>
    <w:rsid w:val="3737779F"/>
    <w:rsid w:val="379836AD"/>
    <w:rsid w:val="3A9F6163"/>
    <w:rsid w:val="3ABC192D"/>
    <w:rsid w:val="3D5F1130"/>
    <w:rsid w:val="3DC87D6C"/>
    <w:rsid w:val="3F9D5B14"/>
    <w:rsid w:val="4065019F"/>
    <w:rsid w:val="466057C1"/>
    <w:rsid w:val="4A6039EB"/>
    <w:rsid w:val="4B5551FE"/>
    <w:rsid w:val="4D570E5F"/>
    <w:rsid w:val="4DB91131"/>
    <w:rsid w:val="4E201790"/>
    <w:rsid w:val="4F880B95"/>
    <w:rsid w:val="501E0DF2"/>
    <w:rsid w:val="510B718B"/>
    <w:rsid w:val="51C51127"/>
    <w:rsid w:val="557553AC"/>
    <w:rsid w:val="56DC3F96"/>
    <w:rsid w:val="5E60452A"/>
    <w:rsid w:val="63DC0640"/>
    <w:rsid w:val="64FF4F0C"/>
    <w:rsid w:val="65686B47"/>
    <w:rsid w:val="66522096"/>
    <w:rsid w:val="68D641AF"/>
    <w:rsid w:val="6919636A"/>
    <w:rsid w:val="6AD364FE"/>
    <w:rsid w:val="6B464815"/>
    <w:rsid w:val="6BC41CEB"/>
    <w:rsid w:val="6D5259E7"/>
    <w:rsid w:val="72B00C36"/>
    <w:rsid w:val="72BB07F7"/>
    <w:rsid w:val="72D7223C"/>
    <w:rsid w:val="73E534F6"/>
    <w:rsid w:val="76FE29F2"/>
    <w:rsid w:val="78452ACC"/>
    <w:rsid w:val="79BD788F"/>
    <w:rsid w:val="79C55083"/>
    <w:rsid w:val="7AB0675E"/>
    <w:rsid w:val="7AD068E0"/>
    <w:rsid w:val="7D863E8A"/>
    <w:rsid w:val="7E1B1F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6FC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56FCD"/>
    <w:pPr>
      <w:keepNext/>
      <w:keepLines/>
      <w:spacing w:line="576" w:lineRule="auto"/>
      <w:outlineLvl w:val="0"/>
    </w:pPr>
    <w:rPr>
      <w:b/>
      <w:kern w:val="44"/>
      <w:sz w:val="44"/>
    </w:rPr>
  </w:style>
  <w:style w:type="paragraph" w:styleId="2">
    <w:name w:val="heading 2"/>
    <w:basedOn w:val="a"/>
    <w:next w:val="a"/>
    <w:unhideWhenUsed/>
    <w:qFormat/>
    <w:rsid w:val="00A56FCD"/>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56FCD"/>
    <w:pPr>
      <w:spacing w:after="120"/>
    </w:pPr>
    <w:rPr>
      <w:rFonts w:ascii="Calibri" w:hAnsi="Calibri"/>
    </w:rPr>
  </w:style>
  <w:style w:type="paragraph" w:styleId="a4">
    <w:name w:val="Body Text Indent"/>
    <w:basedOn w:val="a"/>
    <w:uiPriority w:val="99"/>
    <w:unhideWhenUsed/>
    <w:qFormat/>
    <w:rsid w:val="00A56FCD"/>
    <w:pPr>
      <w:spacing w:after="120"/>
      <w:ind w:leftChars="200" w:left="420"/>
    </w:pPr>
  </w:style>
  <w:style w:type="paragraph" w:styleId="a5">
    <w:name w:val="Plain Text"/>
    <w:basedOn w:val="a"/>
    <w:rsid w:val="00A56FCD"/>
    <w:rPr>
      <w:rFonts w:ascii="宋体" w:hAnsi="Courier New" w:cs="Courier New"/>
      <w:szCs w:val="21"/>
    </w:rPr>
  </w:style>
  <w:style w:type="paragraph" w:styleId="a6">
    <w:name w:val="Balloon Text"/>
    <w:basedOn w:val="a"/>
    <w:link w:val="Char"/>
    <w:qFormat/>
    <w:rsid w:val="00A56FCD"/>
    <w:rPr>
      <w:sz w:val="18"/>
      <w:szCs w:val="18"/>
    </w:rPr>
  </w:style>
  <w:style w:type="paragraph" w:styleId="a7">
    <w:name w:val="footer"/>
    <w:basedOn w:val="a"/>
    <w:link w:val="Char0"/>
    <w:uiPriority w:val="99"/>
    <w:qFormat/>
    <w:rsid w:val="00A56FCD"/>
    <w:pPr>
      <w:tabs>
        <w:tab w:val="center" w:pos="4153"/>
        <w:tab w:val="right" w:pos="8306"/>
      </w:tabs>
      <w:snapToGrid w:val="0"/>
      <w:jc w:val="left"/>
    </w:pPr>
    <w:rPr>
      <w:sz w:val="18"/>
      <w:szCs w:val="18"/>
    </w:rPr>
  </w:style>
  <w:style w:type="paragraph" w:styleId="a8">
    <w:name w:val="header"/>
    <w:basedOn w:val="a"/>
    <w:qFormat/>
    <w:rsid w:val="00A56FCD"/>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uiPriority w:val="99"/>
    <w:unhideWhenUsed/>
    <w:qFormat/>
    <w:rsid w:val="00A56FCD"/>
    <w:pPr>
      <w:ind w:firstLineChars="200" w:firstLine="420"/>
    </w:pPr>
  </w:style>
  <w:style w:type="character" w:styleId="a9">
    <w:name w:val="Strong"/>
    <w:basedOn w:val="a0"/>
    <w:qFormat/>
    <w:rsid w:val="00A56FCD"/>
    <w:rPr>
      <w:b/>
      <w:bCs/>
    </w:rPr>
  </w:style>
  <w:style w:type="character" w:styleId="aa">
    <w:name w:val="page number"/>
    <w:basedOn w:val="a0"/>
    <w:qFormat/>
    <w:rsid w:val="00A56FCD"/>
  </w:style>
  <w:style w:type="paragraph" w:customStyle="1" w:styleId="ab">
    <w:name w:val="闻政正文"/>
    <w:basedOn w:val="a"/>
    <w:qFormat/>
    <w:rsid w:val="00A56FCD"/>
    <w:pPr>
      <w:spacing w:line="500" w:lineRule="exact"/>
      <w:ind w:firstLineChars="200" w:firstLine="560"/>
    </w:pPr>
    <w:rPr>
      <w:rFonts w:eastAsia="仿宋_GB2312"/>
      <w:kern w:val="0"/>
      <w:sz w:val="28"/>
      <w:szCs w:val="28"/>
    </w:rPr>
  </w:style>
  <w:style w:type="character" w:customStyle="1" w:styleId="Char">
    <w:name w:val="批注框文本 Char"/>
    <w:basedOn w:val="a0"/>
    <w:link w:val="a6"/>
    <w:qFormat/>
    <w:rsid w:val="00A56FCD"/>
    <w:rPr>
      <w:rFonts w:asciiTheme="minorHAnsi" w:eastAsiaTheme="minorEastAsia" w:hAnsiTheme="minorHAnsi" w:cstheme="minorBidi"/>
      <w:kern w:val="2"/>
      <w:sz w:val="18"/>
      <w:szCs w:val="18"/>
    </w:rPr>
  </w:style>
  <w:style w:type="character" w:customStyle="1" w:styleId="Char0">
    <w:name w:val="页脚 Char"/>
    <w:basedOn w:val="a0"/>
    <w:link w:val="a7"/>
    <w:uiPriority w:val="99"/>
    <w:qFormat/>
    <w:rsid w:val="00A56FCD"/>
    <w:rPr>
      <w:rFonts w:asciiTheme="minorHAnsi" w:eastAsiaTheme="minorEastAsia" w:hAnsiTheme="minorHAnsi" w:cstheme="minorBidi"/>
      <w:kern w:val="2"/>
      <w:sz w:val="18"/>
      <w:szCs w:val="18"/>
    </w:rPr>
  </w:style>
  <w:style w:type="character" w:customStyle="1" w:styleId="15">
    <w:name w:val="15"/>
    <w:qFormat/>
    <w:rsid w:val="003D7D83"/>
    <w:rPr>
      <w:rFonts w:ascii="Calibri" w:hAnsi="Calibri" w:cs="Calibri"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unhideWhenUsed/>
    <w:qFormat/>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Calibri" w:hAnsi="Calibri"/>
    </w:rPr>
  </w:style>
  <w:style w:type="paragraph" w:styleId="a4">
    <w:name w:val="Body Text Indent"/>
    <w:basedOn w:val="a"/>
    <w:uiPriority w:val="99"/>
    <w:unhideWhenUsed/>
    <w:qFormat/>
    <w:pPr>
      <w:spacing w:after="120"/>
      <w:ind w:leftChars="200" w:left="420"/>
    </w:pPr>
  </w:style>
  <w:style w:type="paragraph" w:styleId="a5">
    <w:name w:val="Plain Text"/>
    <w:basedOn w:val="a"/>
    <w:rPr>
      <w:rFonts w:ascii="宋体" w:hAnsi="Courier New" w:cs="Courier New"/>
      <w:szCs w:val="21"/>
    </w:rPr>
  </w:style>
  <w:style w:type="paragraph" w:styleId="a6">
    <w:name w:val="Balloon Text"/>
    <w:basedOn w:val="a"/>
    <w:link w:val="Char"/>
    <w:qFormat/>
    <w:rPr>
      <w:sz w:val="18"/>
      <w:szCs w:val="18"/>
    </w:rPr>
  </w:style>
  <w:style w:type="paragraph" w:styleId="a7">
    <w:name w:val="footer"/>
    <w:basedOn w:val="a"/>
    <w:link w:val="Char0"/>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uiPriority w:val="99"/>
    <w:unhideWhenUsed/>
    <w:qFormat/>
    <w:pPr>
      <w:ind w:firstLineChars="200" w:firstLine="420"/>
    </w:pPr>
  </w:style>
  <w:style w:type="character" w:styleId="a9">
    <w:name w:val="Strong"/>
    <w:basedOn w:val="a0"/>
    <w:qFormat/>
    <w:rPr>
      <w:b/>
      <w:bCs/>
    </w:rPr>
  </w:style>
  <w:style w:type="character" w:styleId="aa">
    <w:name w:val="page number"/>
    <w:basedOn w:val="a0"/>
    <w:qFormat/>
  </w:style>
  <w:style w:type="paragraph" w:customStyle="1" w:styleId="ab">
    <w:name w:val="闻政正文"/>
    <w:basedOn w:val="a"/>
    <w:qFormat/>
    <w:pPr>
      <w:spacing w:line="500" w:lineRule="exact"/>
      <w:ind w:firstLineChars="200" w:firstLine="560"/>
    </w:pPr>
    <w:rPr>
      <w:rFonts w:eastAsia="仿宋_GB2312"/>
      <w:kern w:val="0"/>
      <w:sz w:val="28"/>
      <w:szCs w:val="28"/>
    </w:rPr>
  </w:style>
  <w:style w:type="character" w:customStyle="1" w:styleId="Char">
    <w:name w:val="批注框文本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7"/>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5316</Words>
  <Characters>1122</Characters>
  <Application>Microsoft Office Word</Application>
  <DocSecurity>0</DocSecurity>
  <Lines>9</Lines>
  <Paragraphs>12</Paragraphs>
  <ScaleCrop>false</ScaleCrop>
  <Company>Sky123.Org</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null,null,预算公开</dc:creator>
  <cp:lastModifiedBy>田蕾</cp:lastModifiedBy>
  <cp:revision>63</cp:revision>
  <cp:lastPrinted>2020-05-13T10:20:00Z</cp:lastPrinted>
  <dcterms:created xsi:type="dcterms:W3CDTF">2017-04-01T03:15:00Z</dcterms:created>
  <dcterms:modified xsi:type="dcterms:W3CDTF">2022-03-22T08:12:00Z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