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长治市人力资源和社会保障局</w:t>
      </w:r>
    </w:p>
    <w:p>
      <w:pPr>
        <w:jc w:val="center"/>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2017年部门预算相关说明</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第一部分  概况</w:t>
      </w:r>
    </w:p>
    <w:p>
      <w:pPr>
        <w:numPr>
          <w:ilvl w:val="0"/>
          <w:numId w:val="1"/>
        </w:numPr>
        <w:ind w:firstLine="64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本部门职责：</w:t>
      </w:r>
    </w:p>
    <w:p>
      <w:pPr>
        <w:numPr>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长治市人力资源和社会保障局为行政单位，主要负责全市促进就业工作，社会保险征缴和发放，公务员及事业人员招考录用，专业技术人员职称考核与管理，处理协调劳动关系，</w:t>
      </w:r>
      <w:r>
        <w:rPr>
          <w:rFonts w:hint="eastAsia" w:ascii="仿宋_GB2312" w:hAnsi="仿宋_GB2312" w:eastAsia="仿宋_GB2312" w:cs="仿宋_GB2312"/>
          <w:sz w:val="32"/>
          <w:szCs w:val="32"/>
          <w:lang w:eastAsia="zh-CN"/>
        </w:rPr>
        <w:t>技工教育培训</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军转干部安置和管理等。</w:t>
      </w:r>
    </w:p>
    <w:p>
      <w:pPr>
        <w:numPr>
          <w:ilvl w:val="0"/>
          <w:numId w:val="1"/>
        </w:numPr>
        <w:ind w:firstLine="640"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机构设置情况：</w:t>
      </w:r>
    </w:p>
    <w:p>
      <w:pPr>
        <w:widowControl/>
        <w:shd w:val="clear" w:color="auto" w:fill="FFFFFF"/>
        <w:spacing w:line="640" w:lineRule="exact"/>
        <w:ind w:firstLine="640" w:firstLineChars="200"/>
        <w:jc w:val="left"/>
        <w:rPr>
          <w:rFonts w:hint="eastAsia" w:ascii="仿宋_GB2312" w:hAnsi="宋体" w:eastAsia="仿宋_GB2312" w:cs="宋体"/>
          <w:color w:val="auto"/>
          <w:kern w:val="0"/>
          <w:sz w:val="32"/>
          <w:szCs w:val="32"/>
        </w:rPr>
      </w:pPr>
      <w:r>
        <w:rPr>
          <w:rFonts w:hint="eastAsia" w:ascii="仿宋" w:hAnsi="仿宋" w:eastAsia="仿宋"/>
          <w:sz w:val="32"/>
          <w:szCs w:val="32"/>
        </w:rPr>
        <w:t>根据长政办发〔2010〕29号文件批准</w:t>
      </w:r>
      <w:r>
        <w:rPr>
          <w:rFonts w:hint="eastAsia" w:ascii="仿宋" w:hAnsi="仿宋" w:eastAsia="仿宋"/>
          <w:sz w:val="32"/>
          <w:szCs w:val="32"/>
          <w:lang w:eastAsia="zh-CN"/>
        </w:rPr>
        <w:t>长治市人力资源和社会保障局</w:t>
      </w:r>
      <w:r>
        <w:rPr>
          <w:rFonts w:hint="eastAsia" w:ascii="仿宋" w:hAnsi="仿宋" w:eastAsia="仿宋"/>
          <w:sz w:val="32"/>
          <w:szCs w:val="32"/>
        </w:rPr>
        <w:t>为</w:t>
      </w:r>
      <w:r>
        <w:rPr>
          <w:rFonts w:hint="eastAsia" w:ascii="仿宋" w:hAnsi="仿宋" w:eastAsia="仿宋"/>
          <w:sz w:val="32"/>
          <w:szCs w:val="32"/>
          <w:lang w:eastAsia="zh-CN"/>
        </w:rPr>
        <w:t>正处级</w:t>
      </w:r>
      <w:r>
        <w:rPr>
          <w:rFonts w:hint="eastAsia" w:ascii="仿宋" w:hAnsi="仿宋" w:eastAsia="仿宋"/>
          <w:sz w:val="32"/>
          <w:szCs w:val="32"/>
        </w:rPr>
        <w:t>行政单位，</w:t>
      </w:r>
      <w:r>
        <w:rPr>
          <w:rFonts w:hint="eastAsia" w:ascii="仿宋_GB2312" w:hAnsi="宋体" w:eastAsia="仿宋_GB2312" w:cs="宋体"/>
          <w:color w:val="auto"/>
          <w:kern w:val="0"/>
          <w:sz w:val="32"/>
          <w:szCs w:val="32"/>
        </w:rPr>
        <w:t>内设科室20个，下属事业单位25个，其中参公事业单位9个，全额事业单位9个，差额事业单位1个，自收自支事业单位6个</w:t>
      </w:r>
      <w:r>
        <w:rPr>
          <w:rFonts w:hint="eastAsia" w:ascii="仿宋_GB2312" w:hAnsi="宋体" w:eastAsia="仿宋_GB2312" w:cs="宋体"/>
          <w:color w:val="auto"/>
          <w:kern w:val="0"/>
          <w:sz w:val="32"/>
          <w:szCs w:val="32"/>
          <w:lang w:eastAsia="zh-CN"/>
        </w:rPr>
        <w:t>，财务独立核算单位</w:t>
      </w:r>
      <w:r>
        <w:rPr>
          <w:rFonts w:hint="eastAsia" w:ascii="仿宋_GB2312" w:hAnsi="宋体" w:eastAsia="仿宋_GB2312" w:cs="宋体"/>
          <w:color w:val="auto"/>
          <w:kern w:val="0"/>
          <w:sz w:val="32"/>
          <w:szCs w:val="32"/>
          <w:lang w:val="en-US" w:eastAsia="zh-CN"/>
        </w:rPr>
        <w:t>24个。</w:t>
      </w:r>
      <w:r>
        <w:rPr>
          <w:rFonts w:hint="eastAsia" w:ascii="仿宋_GB2312" w:eastAsia="仿宋_GB2312"/>
          <w:color w:val="auto"/>
          <w:sz w:val="32"/>
          <w:szCs w:val="32"/>
          <w:lang w:val="en-US" w:eastAsia="zh-CN"/>
        </w:rPr>
        <w:t>截止2016年编制人数812人，实有人数708人。</w:t>
      </w:r>
      <w:r>
        <w:rPr>
          <w:rFonts w:hint="eastAsia" w:ascii="仿宋_GB2312" w:hAnsi="宋体" w:eastAsia="仿宋_GB2312" w:cs="宋体"/>
          <w:color w:val="auto"/>
          <w:kern w:val="0"/>
          <w:sz w:val="32"/>
          <w:szCs w:val="32"/>
        </w:rPr>
        <w:t>局机关编制60人，其中行政编制55人，工勤编制5人。201</w:t>
      </w:r>
      <w:r>
        <w:rPr>
          <w:rFonts w:hint="eastAsia" w:ascii="仿宋_GB2312" w:hAnsi="宋体" w:eastAsia="仿宋_GB2312" w:cs="宋体"/>
          <w:color w:val="auto"/>
          <w:kern w:val="0"/>
          <w:sz w:val="32"/>
          <w:szCs w:val="32"/>
          <w:lang w:val="en-US" w:eastAsia="zh-CN"/>
        </w:rPr>
        <w:t>6</w:t>
      </w:r>
      <w:r>
        <w:rPr>
          <w:rFonts w:hint="eastAsia" w:ascii="仿宋_GB2312" w:hAnsi="宋体" w:eastAsia="仿宋_GB2312" w:cs="宋体"/>
          <w:color w:val="auto"/>
          <w:kern w:val="0"/>
          <w:sz w:val="32"/>
          <w:szCs w:val="32"/>
        </w:rPr>
        <w:t>年实有人员</w:t>
      </w:r>
      <w:r>
        <w:rPr>
          <w:rFonts w:hint="eastAsia" w:ascii="仿宋_GB2312" w:hAnsi="宋体" w:eastAsia="仿宋_GB2312" w:cs="宋体"/>
          <w:color w:val="auto"/>
          <w:kern w:val="0"/>
          <w:sz w:val="32"/>
          <w:szCs w:val="32"/>
          <w:lang w:val="en-US" w:eastAsia="zh-CN"/>
        </w:rPr>
        <w:t>109</w:t>
      </w:r>
      <w:r>
        <w:rPr>
          <w:rFonts w:hint="eastAsia" w:ascii="仿宋_GB2312" w:hAnsi="宋体" w:eastAsia="仿宋_GB2312" w:cs="宋体"/>
          <w:color w:val="auto"/>
          <w:kern w:val="0"/>
          <w:sz w:val="32"/>
          <w:szCs w:val="32"/>
        </w:rPr>
        <w:t>人，其中</w:t>
      </w:r>
      <w:r>
        <w:rPr>
          <w:rFonts w:hint="eastAsia" w:ascii="仿宋_GB2312" w:hAnsi="宋体" w:eastAsia="仿宋_GB2312" w:cs="宋体"/>
          <w:color w:val="auto"/>
          <w:kern w:val="0"/>
          <w:sz w:val="32"/>
          <w:szCs w:val="32"/>
          <w:lang w:eastAsia="zh-CN"/>
        </w:rPr>
        <w:t>在职</w:t>
      </w:r>
      <w:r>
        <w:rPr>
          <w:rFonts w:hint="eastAsia" w:ascii="仿宋_GB2312" w:hAnsi="宋体" w:eastAsia="仿宋_GB2312" w:cs="宋体"/>
          <w:color w:val="auto"/>
          <w:kern w:val="0"/>
          <w:sz w:val="32"/>
          <w:szCs w:val="32"/>
          <w:lang w:val="en-US" w:eastAsia="zh-CN"/>
        </w:rPr>
        <w:t>55人</w:t>
      </w:r>
      <w:r>
        <w:rPr>
          <w:rFonts w:hint="eastAsia" w:ascii="仿宋_GB2312" w:hAnsi="宋体" w:eastAsia="仿宋_GB2312" w:cs="宋体"/>
          <w:color w:val="auto"/>
          <w:kern w:val="0"/>
          <w:sz w:val="32"/>
          <w:szCs w:val="32"/>
          <w:lang w:eastAsia="zh-CN"/>
        </w:rPr>
        <w:t>，离休</w:t>
      </w:r>
      <w:r>
        <w:rPr>
          <w:rFonts w:hint="eastAsia" w:ascii="仿宋_GB2312" w:hAnsi="宋体" w:eastAsia="仿宋_GB2312" w:cs="宋体"/>
          <w:color w:val="auto"/>
          <w:kern w:val="0"/>
          <w:sz w:val="32"/>
          <w:szCs w:val="32"/>
          <w:lang w:val="en-US" w:eastAsia="zh-CN"/>
        </w:rPr>
        <w:t>4人，</w:t>
      </w:r>
      <w:r>
        <w:rPr>
          <w:rFonts w:hint="eastAsia" w:ascii="仿宋_GB2312" w:hAnsi="宋体" w:eastAsia="仿宋_GB2312" w:cs="宋体"/>
          <w:color w:val="auto"/>
          <w:kern w:val="0"/>
          <w:sz w:val="32"/>
          <w:szCs w:val="32"/>
        </w:rPr>
        <w:t>退休5</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人。</w:t>
      </w:r>
    </w:p>
    <w:p>
      <w:pPr>
        <w:widowControl/>
        <w:shd w:val="clear" w:color="auto" w:fill="FFFFFF"/>
        <w:spacing w:line="640" w:lineRule="exact"/>
        <w:ind w:firstLine="640" w:firstLineChars="200"/>
        <w:jc w:val="left"/>
        <w:rPr>
          <w:rFonts w:hint="eastAsia" w:ascii="仿宋_GB2312" w:hAnsi="宋体" w:eastAsia="仿宋_GB2312" w:cs="宋体"/>
          <w:b/>
          <w:bCs/>
          <w:color w:val="auto"/>
          <w:kern w:val="0"/>
          <w:sz w:val="32"/>
          <w:szCs w:val="32"/>
          <w:lang w:val="en-US" w:eastAsia="zh-CN"/>
        </w:rPr>
      </w:pPr>
      <w:r>
        <w:rPr>
          <w:rFonts w:hint="eastAsia" w:ascii="仿宋_GB2312" w:hAnsi="宋体" w:eastAsia="仿宋_GB2312" w:cs="宋体"/>
          <w:b/>
          <w:bCs/>
          <w:color w:val="auto"/>
          <w:kern w:val="0"/>
          <w:sz w:val="32"/>
          <w:szCs w:val="32"/>
          <w:lang w:eastAsia="zh-CN"/>
        </w:rPr>
        <w:t>第二部分</w:t>
      </w:r>
      <w:r>
        <w:rPr>
          <w:rFonts w:hint="eastAsia" w:ascii="仿宋_GB2312" w:hAnsi="宋体" w:eastAsia="仿宋_GB2312" w:cs="宋体"/>
          <w:b/>
          <w:bCs/>
          <w:color w:val="auto"/>
          <w:kern w:val="0"/>
          <w:sz w:val="32"/>
          <w:szCs w:val="32"/>
          <w:lang w:val="en-US" w:eastAsia="zh-CN"/>
        </w:rPr>
        <w:t xml:space="preserve">  2017年度部门预算情况说明</w:t>
      </w:r>
    </w:p>
    <w:p>
      <w:pPr>
        <w:widowControl/>
        <w:shd w:val="clear" w:color="auto" w:fill="FFFFFF"/>
        <w:spacing w:line="640" w:lineRule="exact"/>
        <w:ind w:firstLine="640" w:firstLineChars="200"/>
        <w:jc w:val="left"/>
        <w:rPr>
          <w:rFonts w:hint="eastAsia" w:ascii="仿宋_GB2312" w:hAnsi="宋体" w:eastAsia="仿宋_GB2312" w:cs="宋体"/>
          <w:b/>
          <w:bCs/>
          <w:color w:val="auto"/>
          <w:kern w:val="0"/>
          <w:sz w:val="32"/>
          <w:szCs w:val="32"/>
          <w:lang w:val="en-US" w:eastAsia="zh-CN"/>
        </w:rPr>
      </w:pPr>
      <w:r>
        <w:rPr>
          <w:rFonts w:hint="eastAsia" w:ascii="仿宋_GB2312" w:hAnsi="宋体" w:eastAsia="仿宋_GB2312" w:cs="宋体"/>
          <w:b/>
          <w:bCs/>
          <w:color w:val="auto"/>
          <w:kern w:val="0"/>
          <w:sz w:val="32"/>
          <w:szCs w:val="32"/>
          <w:lang w:val="en-US" w:eastAsia="zh-CN"/>
        </w:rPr>
        <w:t>一、2017年度部门预算数据变动情况及原因：</w:t>
      </w:r>
    </w:p>
    <w:p>
      <w:pPr>
        <w:widowControl/>
        <w:shd w:val="clear" w:color="auto" w:fill="FFFFFF"/>
        <w:spacing w:line="640" w:lineRule="exact"/>
        <w:ind w:firstLine="640" w:firstLineChars="20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2017年度收入预算28945.58万元，比2016年减少1353.16万元，减少4.47%。其中：一般公共预算资金减少1102.84万元，减少3.68%；上年结转减少259.88万元，减少100%。</w:t>
      </w:r>
    </w:p>
    <w:p>
      <w:pPr>
        <w:widowControl/>
        <w:shd w:val="clear" w:color="auto" w:fill="FFFFFF"/>
        <w:spacing w:line="640" w:lineRule="exact"/>
        <w:ind w:firstLine="640" w:firstLineChars="20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2017年度支出预算28945.58万元，比2016年减少1353.16万元，减少4.47%。其中：人力资源事务增加216.97万元；教育支出减少69.99万元；社会保障和就业支出减少3949.98万元，主要是财政对企业职工基本养老保险补助减少4220万元；医疗卫生与计划生育支出增加2403.42万元，主要是新农合医疗补助增加2386.8万元；住房保障支出增加46.42万元。</w:t>
      </w:r>
    </w:p>
    <w:p>
      <w:pPr>
        <w:widowControl/>
        <w:numPr>
          <w:numId w:val="0"/>
        </w:numPr>
        <w:shd w:val="clear" w:color="auto" w:fill="FFFFFF"/>
        <w:spacing w:line="640" w:lineRule="exact"/>
        <w:jc w:val="left"/>
        <w:rPr>
          <w:rFonts w:hint="eastAsia" w:ascii="仿宋_GB2312" w:hAnsi="宋体" w:eastAsia="仿宋_GB2312" w:cs="宋体"/>
          <w:b/>
          <w:bCs/>
          <w:color w:val="auto"/>
          <w:kern w:val="0"/>
          <w:sz w:val="32"/>
          <w:szCs w:val="32"/>
          <w:lang w:val="en-US" w:eastAsia="zh-CN"/>
        </w:rPr>
      </w:pPr>
      <w:r>
        <w:rPr>
          <w:rFonts w:hint="eastAsia" w:ascii="仿宋_GB2312" w:hAnsi="宋体" w:eastAsia="仿宋_GB2312" w:cs="宋体"/>
          <w:b/>
          <w:bCs/>
          <w:color w:val="auto"/>
          <w:kern w:val="0"/>
          <w:sz w:val="32"/>
          <w:szCs w:val="32"/>
          <w:lang w:val="en-US" w:eastAsia="zh-CN"/>
        </w:rPr>
        <w:t xml:space="preserve">    二、“三公”经费增减变动原因说明：</w:t>
      </w:r>
    </w:p>
    <w:p>
      <w:pPr>
        <w:spacing w:line="640" w:lineRule="exact"/>
        <w:ind w:firstLine="649" w:firstLineChars="203"/>
        <w:rPr>
          <w:rFonts w:hint="eastAsia" w:ascii="仿宋_GB2312" w:eastAsia="仿宋_GB2312"/>
          <w:sz w:val="32"/>
          <w:szCs w:val="32"/>
          <w:lang w:val="en-US" w:eastAsia="zh-CN"/>
        </w:rPr>
      </w:pPr>
      <w:r>
        <w:rPr>
          <w:rFonts w:hint="eastAsia" w:ascii="仿宋_GB2312" w:eastAsia="仿宋_GB2312"/>
          <w:color w:val="auto"/>
          <w:sz w:val="32"/>
          <w:szCs w:val="32"/>
          <w:lang w:val="en-US" w:eastAsia="zh-CN"/>
        </w:rPr>
        <w:t>2017年“三公”经费</w:t>
      </w:r>
      <w:r>
        <w:rPr>
          <w:rFonts w:hint="eastAsia" w:ascii="仿宋_GB2312" w:eastAsia="仿宋_GB2312"/>
          <w:sz w:val="32"/>
          <w:szCs w:val="32"/>
          <w:lang w:val="en-US" w:eastAsia="zh-CN"/>
        </w:rPr>
        <w:t>预算收入共计59.5万元，增加3.2万元。其中公务接待费11.5万元，比2016年增加0.5万元，增加4.5%。公务用车运行维护费48万元，比2016年增加2.7万元，增加5.9%。</w:t>
      </w:r>
    </w:p>
    <w:p>
      <w:pPr>
        <w:spacing w:line="640" w:lineRule="exact"/>
        <w:ind w:firstLine="649" w:firstLineChars="203"/>
        <w:rPr>
          <w:rFonts w:hint="eastAsia" w:ascii="仿宋_GB2312" w:eastAsia="仿宋_GB2312"/>
          <w:sz w:val="32"/>
          <w:szCs w:val="32"/>
          <w:lang w:val="en-US" w:eastAsia="zh-CN"/>
        </w:rPr>
      </w:pPr>
      <w:r>
        <w:rPr>
          <w:rFonts w:hint="eastAsia" w:ascii="仿宋_GB2312" w:eastAsia="仿宋_GB2312"/>
          <w:sz w:val="32"/>
          <w:szCs w:val="32"/>
          <w:lang w:val="en-US" w:eastAsia="zh-CN"/>
        </w:rPr>
        <w:t>“三公”经费支出将按照厉行结余的原则，统筹兼顾，合理安排，提高经费的使用效益。公务接待费支出11.5万元，公务用车运行维护费48万元。</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“三公”经费增加的原因主要是我局机关公车改革后，增加一辆公务用车，增加公务用车运行维护费2万元。自择办增加维护稳定接待费0.5万元。预算执行时，严格控制陪餐人数和标准，严格执行标准制度。</w:t>
      </w:r>
    </w:p>
    <w:p>
      <w:pPr>
        <w:numPr>
          <w:ilvl w:val="0"/>
          <w:numId w:val="1"/>
        </w:numPr>
        <w:ind w:firstLine="640"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机关运行经费增减变动原因说明：</w:t>
      </w:r>
    </w:p>
    <w:p>
      <w:pPr>
        <w:numPr>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长治市人力资源和社会保障局2017年所属局机关、企业养老保险管理服务中心、医疗保险管理服务中心、失业保险管理服务中心、工伤保险管理服务中心、机关事业养</w:t>
      </w:r>
      <w:bookmarkStart w:id="0" w:name="_GoBack"/>
      <w:bookmarkEnd w:id="0"/>
      <w:r>
        <w:rPr>
          <w:rFonts w:hint="eastAsia" w:ascii="仿宋_GB2312" w:hAnsi="仿宋_GB2312" w:eastAsia="仿宋_GB2312" w:cs="仿宋_GB2312"/>
          <w:sz w:val="32"/>
          <w:szCs w:val="32"/>
          <w:lang w:val="en-US" w:eastAsia="zh-CN"/>
        </w:rPr>
        <w:t>老保险管理服务中心、劳动人事争议仲裁院、人才信息市场、引进国外智力办公室、军队自主择业军转业干部管理服务中心10家行政参公单位的机关运行经费财政拨款预算357.49万元，比2016年预算增加143.9万元，增长67.37%，主要是今年的基本支出的商品和服务支出中，含公车改革后人员交通补贴。2016年只有局机关含20万，其他单位无包含人员交通补贴。</w:t>
      </w:r>
    </w:p>
    <w:p>
      <w:pPr>
        <w:numPr>
          <w:numId w:val="0"/>
        </w:numPr>
        <w:ind w:firstLine="64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四、其他说明：</w:t>
      </w:r>
    </w:p>
    <w:p>
      <w:pPr>
        <w:numPr>
          <w:numId w:val="0"/>
        </w:numPr>
        <w:ind w:firstLine="64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（一）政府采购情况：</w:t>
      </w:r>
    </w:p>
    <w:p>
      <w:pPr>
        <w:numPr>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2017年长治市人力资源和社会保障局各单位政府采购预算总额158.2万元，其中：政府采购货物预算68.2万元、政府采购服务预算90万元。</w:t>
      </w:r>
    </w:p>
    <w:p>
      <w:pPr>
        <w:numPr>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（二）国有资产占有使用情况：</w:t>
      </w:r>
    </w:p>
    <w:p>
      <w:pPr>
        <w:numPr>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1、车辆情况：截止2016年12月，车辆26台，其中一般公务用车25台，其他用车1台。轿车17台，小型客车8台，其他车辆1台。</w:t>
      </w:r>
    </w:p>
    <w:p>
      <w:pPr>
        <w:numPr>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2、房屋情况：办公用房4,113,250.00平方米，担负供暖面积10,092.00平方米。</w:t>
      </w:r>
    </w:p>
    <w:p>
      <w:pPr>
        <w:numPr>
          <w:numId w:val="0"/>
        </w:num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(三）绩效管理情况：</w:t>
      </w:r>
    </w:p>
    <w:p>
      <w:pPr>
        <w:numPr>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2017年长治市人力资源和社会保障局实行绩效目标管理的项目29项，涉及一般公共预算当年拨款1152.95万元。</w:t>
      </w:r>
    </w:p>
    <w:p>
      <w:pPr>
        <w:numPr>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（四）非税收入和基金执行情况：</w:t>
      </w:r>
    </w:p>
    <w:p>
      <w:pPr>
        <w:numPr>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长治市人力资源和社会保障局非税收入共计411.7万元，其中人事考试中心考务费136.7万元；人才市场以前年度档案保管费30.00万元；职业技能鉴定中心鉴定考试考务费170.00万元；劳动能力鉴定中心鉴定费75.00万元。</w:t>
      </w:r>
    </w:p>
    <w:p>
      <w:pPr>
        <w:numPr>
          <w:numId w:val="0"/>
        </w:numPr>
        <w:ind w:firstLine="64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第三部分：名词解释</w:t>
      </w:r>
    </w:p>
    <w:p>
      <w:pPr>
        <w:numPr>
          <w:ilvl w:val="0"/>
          <w:numId w:val="2"/>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基本支出：</w:t>
      </w:r>
      <w:r>
        <w:rPr>
          <w:rFonts w:hint="eastAsia" w:ascii="仿宋_GB2312" w:hAnsi="仿宋_GB2312" w:eastAsia="仿宋_GB2312" w:cs="仿宋_GB2312"/>
          <w:sz w:val="32"/>
          <w:szCs w:val="32"/>
          <w:lang w:val="en-US" w:eastAsia="zh-CN"/>
        </w:rPr>
        <w:t>指为保障机构正常运转、完成日常工作任务而发生的人员支出和公用支出。</w:t>
      </w:r>
    </w:p>
    <w:p>
      <w:pPr>
        <w:numPr>
          <w:ilvl w:val="0"/>
          <w:numId w:val="2"/>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numPr>
          <w:ilvl w:val="0"/>
          <w:numId w:val="2"/>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“三公”经费：</w:t>
      </w:r>
      <w:r>
        <w:rPr>
          <w:rFonts w:hint="eastAsia" w:ascii="仿宋_GB2312" w:hAnsi="仿宋_GB2312" w:eastAsia="仿宋_GB2312" w:cs="仿宋_GB2312"/>
          <w:sz w:val="32"/>
          <w:szCs w:val="32"/>
          <w:lang w:val="en-US" w:eastAsia="zh-CN"/>
        </w:rPr>
        <w:t>指市直部门用一般公共预算安排的因公出国（境）费、公务用车购置及运行费和公务接待费。其中，因公出国（境）费反映单位公务出国（境）的国际旅费、国外城市间交通费、住宿费、伙食费、培训费、公杂费等支出；公务用车运行维护费反映单位按规定保留的公务用车燃料费、维修费、过路过桥费、保险费、安全奖励费用等支出；公务接待费反映单位按规定开支的各类公务接待支出。</w:t>
      </w:r>
    </w:p>
    <w:p>
      <w:pPr>
        <w:widowControl w:val="0"/>
        <w:numPr>
          <w:numId w:val="0"/>
        </w:num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（四）</w:t>
      </w:r>
      <w:r>
        <w:rPr>
          <w:rFonts w:hint="eastAsia" w:ascii="仿宋_GB2312" w:hAnsi="仿宋_GB2312" w:eastAsia="仿宋_GB2312" w:cs="仿宋_GB2312"/>
          <w:b/>
          <w:bCs/>
          <w:sz w:val="32"/>
          <w:szCs w:val="32"/>
          <w:lang w:val="en-US" w:eastAsia="zh-CN"/>
        </w:rPr>
        <w:t>机关运行费：</w:t>
      </w:r>
      <w:r>
        <w:rPr>
          <w:rFonts w:hint="eastAsia" w:ascii="仿宋_GB2312" w:hAnsi="仿宋_GB2312" w:eastAsia="仿宋_GB2312" w:cs="仿宋_GB2312"/>
          <w:sz w:val="32"/>
          <w:szCs w:val="32"/>
          <w:lang w:val="en-US" w:eastAsia="zh-CN"/>
        </w:rPr>
        <w:t>指行政单位和参照公务员法管理的事业单位使用一般公共预算安排的基本支出中的日常公用经费支出。</w:t>
      </w:r>
    </w:p>
    <w:p>
      <w:pPr>
        <w:numPr>
          <w:numId w:val="0"/>
        </w:numPr>
        <w:rPr>
          <w:rFonts w:hint="eastAsia" w:ascii="仿宋_GB2312" w:hAnsi="仿宋_GB2312" w:eastAsia="仿宋_GB2312" w:cs="仿宋_GB2312"/>
          <w:sz w:val="32"/>
          <w:szCs w:val="32"/>
          <w:lang w:val="en-US" w:eastAsia="zh-CN"/>
        </w:rPr>
      </w:pPr>
    </w:p>
    <w:p>
      <w:pPr>
        <w:numPr>
          <w:numId w:val="0"/>
        </w:numPr>
        <w:rPr>
          <w:rFonts w:hint="eastAsia" w:ascii="仿宋_GB2312" w:hAnsi="仿宋_GB2312" w:eastAsia="仿宋_GB2312" w:cs="仿宋_GB2312"/>
          <w:sz w:val="32"/>
          <w:szCs w:val="32"/>
          <w:lang w:val="en-US" w:eastAsia="zh-CN"/>
        </w:rPr>
      </w:pPr>
    </w:p>
    <w:p>
      <w:pPr>
        <w:widowControl/>
        <w:numPr>
          <w:numId w:val="0"/>
        </w:numPr>
        <w:shd w:val="clear" w:color="auto" w:fill="FFFFFF"/>
        <w:spacing w:line="640" w:lineRule="exact"/>
        <w:jc w:val="left"/>
        <w:rPr>
          <w:rFonts w:hint="eastAsia" w:ascii="仿宋_GB2312" w:hAnsi="宋体" w:eastAsia="仿宋_GB2312" w:cs="宋体"/>
          <w:color w:val="auto"/>
          <w:kern w:val="0"/>
          <w:sz w:val="32"/>
          <w:szCs w:val="32"/>
          <w:lang w:val="en-US" w:eastAsia="zh-CN"/>
        </w:rPr>
      </w:pPr>
    </w:p>
    <w:p>
      <w:pPr>
        <w:widowControl/>
        <w:numPr>
          <w:numId w:val="0"/>
        </w:numPr>
        <w:shd w:val="clear" w:color="auto" w:fill="FFFFFF"/>
        <w:spacing w:line="640" w:lineRule="exact"/>
        <w:jc w:val="left"/>
        <w:rPr>
          <w:rFonts w:hint="eastAsia" w:ascii="仿宋_GB2312" w:hAnsi="宋体" w:eastAsia="仿宋_GB2312" w:cs="宋体"/>
          <w:color w:val="auto"/>
          <w:kern w:val="0"/>
          <w:sz w:val="32"/>
          <w:szCs w:val="32"/>
          <w:lang w:val="en-US" w:eastAsia="zh-CN"/>
        </w:rPr>
      </w:pPr>
    </w:p>
    <w:p>
      <w:pPr>
        <w:widowControl/>
        <w:shd w:val="clear" w:color="auto" w:fill="FFFFFF"/>
        <w:spacing w:line="640" w:lineRule="exact"/>
        <w:ind w:firstLine="640" w:firstLineChars="200"/>
        <w:jc w:val="center"/>
        <w:rPr>
          <w:rFonts w:hint="eastAsia" w:ascii="仿宋_GB2312" w:hAnsi="仿宋_GB2312" w:eastAsia="仿宋_GB2312" w:cs="仿宋_GB2312"/>
          <w:b/>
          <w:bCs/>
          <w:color w:val="auto"/>
          <w:kern w:val="0"/>
          <w:sz w:val="44"/>
          <w:szCs w:val="44"/>
          <w:lang w:val="en-US" w:eastAsia="zh-CN"/>
        </w:rPr>
      </w:pPr>
      <w:r>
        <w:rPr>
          <w:rFonts w:hint="eastAsia" w:ascii="仿宋_GB2312" w:hAnsi="仿宋_GB2312" w:eastAsia="仿宋_GB2312" w:cs="仿宋_GB2312"/>
          <w:b/>
          <w:bCs/>
          <w:color w:val="auto"/>
          <w:kern w:val="0"/>
          <w:sz w:val="44"/>
          <w:szCs w:val="44"/>
          <w:lang w:val="en-US" w:eastAsia="zh-CN"/>
        </w:rPr>
        <w:t>关于同意财政代公开</w:t>
      </w:r>
    </w:p>
    <w:p>
      <w:pPr>
        <w:widowControl/>
        <w:shd w:val="clear" w:color="auto" w:fill="FFFFFF"/>
        <w:spacing w:line="640" w:lineRule="exact"/>
        <w:ind w:firstLine="640" w:firstLineChars="200"/>
        <w:jc w:val="center"/>
        <w:rPr>
          <w:rFonts w:hint="eastAsia" w:ascii="仿宋_GB2312" w:hAnsi="仿宋_GB2312" w:eastAsia="仿宋_GB2312" w:cs="仿宋_GB2312"/>
          <w:b/>
          <w:bCs/>
          <w:color w:val="auto"/>
          <w:kern w:val="0"/>
          <w:sz w:val="44"/>
          <w:szCs w:val="44"/>
          <w:lang w:val="en-US" w:eastAsia="zh-CN"/>
        </w:rPr>
      </w:pPr>
      <w:r>
        <w:rPr>
          <w:rFonts w:hint="eastAsia" w:ascii="仿宋_GB2312" w:hAnsi="仿宋_GB2312" w:eastAsia="仿宋_GB2312" w:cs="仿宋_GB2312"/>
          <w:b/>
          <w:bCs/>
          <w:color w:val="auto"/>
          <w:kern w:val="0"/>
          <w:sz w:val="44"/>
          <w:szCs w:val="44"/>
          <w:lang w:val="en-US" w:eastAsia="zh-CN"/>
        </w:rPr>
        <w:t>2017年部门预算的确认意见</w:t>
      </w:r>
    </w:p>
    <w:p>
      <w:pPr>
        <w:widowControl/>
        <w:shd w:val="clear" w:color="auto" w:fill="FFFFFF"/>
        <w:spacing w:line="640" w:lineRule="exact"/>
        <w:ind w:firstLine="640" w:firstLineChars="200"/>
        <w:jc w:val="left"/>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市财政局：</w:t>
      </w:r>
    </w:p>
    <w:p>
      <w:pPr>
        <w:widowControl/>
        <w:shd w:val="clear" w:color="auto" w:fill="FFFFFF"/>
        <w:spacing w:line="640" w:lineRule="exact"/>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经核实，同意我部门2017年预算收支总表、2017年预算收入总表、2017年预算支出总表、2017年财政拨款收支总表、2017年一般公共预算支出预算表、2017年一般公共预算安排基本支出分经济科目表、2017年“三公”经费预算财政拨款情况统计表、2017年机关运行经费预算财政拨款情况统计表和2017年部门预算公开相关文字说明，由财政部门在预决算公开统一专栏进行公开，已方便公众查阅或监督。</w:t>
      </w:r>
    </w:p>
    <w:p>
      <w:pPr>
        <w:widowControl/>
        <w:shd w:val="clear" w:color="auto" w:fill="FFFFFF"/>
        <w:spacing w:line="640" w:lineRule="exact"/>
        <w:ind w:firstLine="640" w:firstLineChars="200"/>
        <w:jc w:val="left"/>
        <w:rPr>
          <w:rFonts w:hint="eastAsia" w:ascii="仿宋_GB2312" w:hAnsi="宋体" w:eastAsia="仿宋_GB2312" w:cs="宋体"/>
          <w:color w:val="auto"/>
          <w:kern w:val="0"/>
          <w:sz w:val="32"/>
          <w:szCs w:val="32"/>
          <w:lang w:val="en-US" w:eastAsia="zh-CN"/>
        </w:rPr>
      </w:pPr>
    </w:p>
    <w:p>
      <w:pPr>
        <w:widowControl/>
        <w:shd w:val="clear" w:color="auto" w:fill="FFFFFF"/>
        <w:spacing w:line="640" w:lineRule="exact"/>
        <w:ind w:firstLine="640" w:firstLineChars="200"/>
        <w:jc w:val="left"/>
        <w:rPr>
          <w:rFonts w:hint="eastAsia" w:ascii="仿宋_GB2312" w:hAnsi="宋体" w:eastAsia="仿宋_GB2312" w:cs="宋体"/>
          <w:color w:val="auto"/>
          <w:kern w:val="0"/>
          <w:sz w:val="32"/>
          <w:szCs w:val="32"/>
          <w:lang w:val="en-US" w:eastAsia="zh-CN"/>
        </w:rPr>
      </w:pPr>
    </w:p>
    <w:p>
      <w:pPr>
        <w:widowControl/>
        <w:shd w:val="clear" w:color="auto" w:fill="FFFFFF"/>
        <w:spacing w:line="640" w:lineRule="exact"/>
        <w:ind w:firstLine="640" w:firstLineChars="20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 xml:space="preserve">                 长治市人力资源和社会保障局</w:t>
      </w:r>
    </w:p>
    <w:p>
      <w:pPr>
        <w:widowControl/>
        <w:shd w:val="clear" w:color="auto" w:fill="FFFFFF"/>
        <w:spacing w:line="640" w:lineRule="exact"/>
        <w:ind w:firstLine="640" w:firstLineChars="20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 xml:space="preserve">                      </w:t>
      </w:r>
    </w:p>
    <w:p>
      <w:pPr>
        <w:widowControl/>
        <w:shd w:val="clear" w:color="auto" w:fill="FFFFFF"/>
        <w:spacing w:line="640" w:lineRule="exact"/>
        <w:ind w:firstLine="640" w:firstLineChars="20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 xml:space="preserve">                      2017年4月14日</w:t>
      </w:r>
    </w:p>
    <w:p>
      <w:pPr>
        <w:widowControl/>
        <w:shd w:val="clear" w:color="auto" w:fill="FFFFFF"/>
        <w:spacing w:line="640" w:lineRule="exact"/>
        <w:jc w:val="left"/>
        <w:rPr>
          <w:rFonts w:hint="eastAsia" w:ascii="仿宋_GB2312" w:hAnsi="宋体" w:eastAsia="仿宋_GB2312" w:cs="宋体"/>
          <w:color w:val="FF0000"/>
          <w:kern w:val="0"/>
          <w:sz w:val="32"/>
          <w:szCs w:val="32"/>
        </w:rPr>
      </w:pPr>
    </w:p>
    <w:p>
      <w:pPr>
        <w:spacing w:line="640" w:lineRule="exact"/>
        <w:ind w:firstLine="650" w:firstLineChars="203"/>
        <w:rPr>
          <w:rFonts w:hint="eastAsia" w:ascii="仿宋_GB2312" w:eastAsia="仿宋_GB2312"/>
          <w:sz w:val="32"/>
          <w:szCs w:val="32"/>
        </w:rPr>
      </w:pPr>
    </w:p>
    <w:p>
      <w:pPr>
        <w:numPr>
          <w:numId w:val="0"/>
        </w:numPr>
        <w:rPr>
          <w:rFonts w:hint="eastAsia"/>
          <w:lang w:val="en-US" w:eastAsia="zh-CN"/>
        </w:rPr>
      </w:pPr>
    </w:p>
    <w:sectPr>
      <w:pgSz w:w="11906" w:h="16838"/>
      <w:pgMar w:top="1440" w:right="1486"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mbria">
    <w:panose1 w:val="02040503050406030204"/>
    <w:charset w:val="00"/>
    <w:family w:val="auto"/>
    <w:pitch w:val="default"/>
    <w:sig w:usb0="A00002EF" w:usb1="4000004B" w:usb2="00000000" w:usb3="00000000" w:csb0="2000009F" w:csb1="00000000"/>
  </w:font>
  <w:font w:name="Calibri">
    <w:panose1 w:val="020F0502020204030204"/>
    <w:charset w:val="00"/>
    <w:family w:val="auto"/>
    <w:pitch w:val="default"/>
    <w:sig w:usb0="A00002EF" w:usb1="4000207B" w:usb2="00000000" w:usb3="00000000" w:csb0="2000009F" w:csb1="00000000"/>
  </w:font>
  <w:font w:name="仿宋">
    <w:altName w:val="仿宋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92156730">
    <w:nsid w:val="58F0813A"/>
    <w:multiLevelType w:val="singleLevel"/>
    <w:tmpl w:val="58F0813A"/>
    <w:lvl w:ilvl="0" w:tentative="1">
      <w:start w:val="1"/>
      <w:numFmt w:val="chineseCounting"/>
      <w:suff w:val="nothing"/>
      <w:lvlText w:val="（%1）"/>
      <w:lvlJc w:val="left"/>
    </w:lvl>
  </w:abstractNum>
  <w:abstractNum w:abstractNumId="1491470349">
    <w:nsid w:val="58E6080D"/>
    <w:multiLevelType w:val="singleLevel"/>
    <w:tmpl w:val="58E6080D"/>
    <w:lvl w:ilvl="0" w:tentative="1">
      <w:start w:val="1"/>
      <w:numFmt w:val="chineseCounting"/>
      <w:suff w:val="nothing"/>
      <w:lvlText w:val="%1、"/>
      <w:lvlJc w:val="left"/>
    </w:lvl>
  </w:abstractNum>
  <w:num w:numId="1">
    <w:abstractNumId w:val="1491470349"/>
  </w:num>
  <w:num w:numId="2">
    <w:abstractNumId w:val="14921567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2">
    <w:name w:val="Default Paragraph Font"/>
    <w:semiHidden/>
    <w:qFormat/>
    <w:uiPriority w:val="0"/>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2017-04-17T00:46:00Z</cp:lastPrinted>
  <dcterms:modified xsi:type="dcterms:W3CDTF">2017-04-21T01:06:22Z</dcterms:modified>
  <dc:title>长治市人力资源和社会保障局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