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ordWrap/>
        <w:adjustRightInd/>
        <w:spacing w:before="0" w:after="0" w:line="540" w:lineRule="exact"/>
        <w:ind w:right="0"/>
        <w:jc w:val="center"/>
        <w:textAlignment w:val="auto"/>
        <w:outlineLvl w:val="9"/>
        <w:rPr>
          <w:rFonts w:hint="eastAsia" w:ascii="宋体" w:hAnsi="宋体"/>
          <w:b/>
          <w:sz w:val="44"/>
          <w:szCs w:val="44"/>
        </w:rPr>
      </w:pPr>
      <w:r>
        <w:rPr>
          <w:rFonts w:hint="eastAsia" w:ascii="宋体" w:hAnsi="宋体"/>
          <w:b/>
          <w:sz w:val="44"/>
          <w:szCs w:val="44"/>
        </w:rPr>
        <w:t>长治市司法局</w:t>
      </w:r>
    </w:p>
    <w:p>
      <w:pPr>
        <w:wordWrap/>
        <w:adjustRightInd/>
        <w:spacing w:before="0" w:after="0" w:line="540" w:lineRule="exact"/>
        <w:ind w:right="0"/>
        <w:jc w:val="center"/>
        <w:textAlignment w:val="auto"/>
        <w:outlineLvl w:val="9"/>
        <w:rPr>
          <w:rFonts w:hint="eastAsia" w:ascii="宋体" w:hAnsi="宋体"/>
          <w:b/>
          <w:sz w:val="44"/>
          <w:szCs w:val="44"/>
        </w:rPr>
      </w:pPr>
      <w:r>
        <w:rPr>
          <w:rFonts w:hint="eastAsia" w:ascii="宋体" w:hAnsi="宋体"/>
          <w:b/>
          <w:sz w:val="44"/>
          <w:szCs w:val="44"/>
        </w:rPr>
        <w:t>2017年度部门预算相关说明</w:t>
      </w:r>
    </w:p>
    <w:p>
      <w:pPr>
        <w:wordWrap/>
        <w:adjustRightInd/>
        <w:spacing w:before="0" w:after="0" w:line="540" w:lineRule="exact"/>
        <w:ind w:right="0"/>
        <w:jc w:val="center"/>
        <w:textAlignment w:val="auto"/>
        <w:outlineLvl w:val="9"/>
        <w:rPr>
          <w:rFonts w:hint="eastAsia" w:ascii="宋体" w:hAnsi="宋体"/>
          <w:b/>
          <w:sz w:val="44"/>
          <w:szCs w:val="44"/>
        </w:rPr>
      </w:pPr>
    </w:p>
    <w:p>
      <w:pPr>
        <w:pStyle w:val="4"/>
        <w:wordWrap/>
        <w:adjustRightInd/>
        <w:snapToGrid w:val="0"/>
        <w:spacing w:before="0" w:beforeAutospacing="0" w:after="0" w:afterAutospacing="0" w:line="540" w:lineRule="exact"/>
        <w:ind w:right="0" w:firstLine="640" w:firstLineChars="200"/>
        <w:textAlignment w:val="auto"/>
        <w:outlineLvl w:val="9"/>
        <w:rPr>
          <w:rFonts w:hint="eastAsia"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按照《长治市财政局关于批复201</w:t>
      </w:r>
      <w:r>
        <w:rPr>
          <w:rFonts w:hint="eastAsia" w:ascii="仿宋" w:hAnsi="仿宋" w:eastAsia="仿宋"/>
          <w:color w:val="000000"/>
          <w:sz w:val="32"/>
          <w:szCs w:val="32"/>
          <w:shd w:val="clear" w:color="auto" w:fill="FFFFFF"/>
          <w:lang w:val="en-US" w:eastAsia="zh-CN"/>
        </w:rPr>
        <w:t>7</w:t>
      </w:r>
      <w:r>
        <w:rPr>
          <w:rFonts w:hint="eastAsia" w:ascii="仿宋" w:hAnsi="仿宋" w:eastAsia="仿宋"/>
          <w:color w:val="000000"/>
          <w:sz w:val="32"/>
          <w:szCs w:val="32"/>
          <w:shd w:val="clear" w:color="auto" w:fill="FFFFFF"/>
        </w:rPr>
        <w:t>年市级部门预算的通知》（长财预〔201</w:t>
      </w:r>
      <w:r>
        <w:rPr>
          <w:rFonts w:hint="eastAsia" w:ascii="仿宋" w:hAnsi="仿宋" w:eastAsia="仿宋"/>
          <w:color w:val="000000"/>
          <w:sz w:val="32"/>
          <w:szCs w:val="32"/>
          <w:shd w:val="clear" w:color="auto" w:fill="FFFFFF"/>
          <w:lang w:val="en-US" w:eastAsia="zh-CN"/>
        </w:rPr>
        <w:t>7</w:t>
      </w:r>
      <w:r>
        <w:rPr>
          <w:rFonts w:hint="eastAsia" w:ascii="仿宋" w:hAnsi="仿宋" w:eastAsia="仿宋"/>
          <w:color w:val="000000"/>
          <w:sz w:val="32"/>
          <w:szCs w:val="32"/>
          <w:shd w:val="clear" w:color="auto" w:fill="FFFFFF"/>
        </w:rPr>
        <w:t>〕</w:t>
      </w:r>
      <w:r>
        <w:rPr>
          <w:rFonts w:hint="eastAsia" w:ascii="仿宋" w:hAnsi="仿宋" w:eastAsia="仿宋"/>
          <w:color w:val="000000"/>
          <w:sz w:val="32"/>
          <w:szCs w:val="32"/>
          <w:shd w:val="clear" w:color="auto" w:fill="FFFFFF"/>
          <w:lang w:val="en-US" w:eastAsia="zh-CN"/>
        </w:rPr>
        <w:t>1</w:t>
      </w:r>
      <w:r>
        <w:rPr>
          <w:rFonts w:hint="eastAsia" w:ascii="仿宋" w:hAnsi="仿宋" w:eastAsia="仿宋"/>
          <w:color w:val="000000"/>
          <w:sz w:val="32"/>
          <w:szCs w:val="32"/>
          <w:shd w:val="clear" w:color="auto" w:fill="FFFFFF"/>
        </w:rPr>
        <w:t>3号）</w:t>
      </w:r>
      <w:r>
        <w:rPr>
          <w:rFonts w:hint="eastAsia" w:ascii="仿宋" w:hAnsi="仿宋" w:eastAsia="仿宋"/>
          <w:color w:val="000000"/>
          <w:sz w:val="32"/>
          <w:szCs w:val="32"/>
          <w:shd w:val="clear" w:color="auto" w:fill="FFFFFF"/>
          <w:lang w:eastAsia="zh-CN"/>
        </w:rPr>
        <w:t>要求</w:t>
      </w:r>
      <w:r>
        <w:rPr>
          <w:rFonts w:hint="eastAsia" w:ascii="仿宋" w:hAnsi="仿宋" w:eastAsia="仿宋"/>
          <w:color w:val="000000"/>
          <w:sz w:val="32"/>
          <w:szCs w:val="32"/>
          <w:shd w:val="clear" w:color="auto" w:fill="FFFFFF"/>
        </w:rPr>
        <w:t>，现将我局2016年部门预算情况公开如下：</w:t>
      </w:r>
    </w:p>
    <w:p>
      <w:pPr>
        <w:pStyle w:val="4"/>
        <w:wordWrap/>
        <w:adjustRightInd/>
        <w:snapToGrid w:val="0"/>
        <w:spacing w:before="0" w:beforeAutospacing="0" w:after="0" w:afterAutospacing="0" w:line="540" w:lineRule="exact"/>
        <w:ind w:right="0"/>
        <w:textAlignment w:val="auto"/>
        <w:outlineLvl w:val="9"/>
        <w:rPr>
          <w:rFonts w:hint="eastAsia" w:ascii="仿宋" w:hAnsi="仿宋" w:eastAsia="仿宋"/>
          <w:color w:val="000000"/>
          <w:sz w:val="32"/>
          <w:szCs w:val="32"/>
          <w:shd w:val="clear" w:color="auto" w:fill="FFFFFF"/>
        </w:rPr>
      </w:pPr>
    </w:p>
    <w:p>
      <w:pPr>
        <w:wordWrap/>
        <w:adjustRightInd/>
        <w:spacing w:before="0" w:after="0" w:line="540" w:lineRule="exact"/>
        <w:ind w:left="720" w:right="0"/>
        <w:jc w:val="center"/>
        <w:textAlignment w:val="auto"/>
        <w:outlineLvl w:val="9"/>
        <w:rPr>
          <w:rFonts w:hint="eastAsia" w:ascii="黑体" w:eastAsia="黑体"/>
          <w:b/>
          <w:sz w:val="32"/>
        </w:rPr>
      </w:pPr>
      <w:r>
        <w:rPr>
          <w:rFonts w:hint="eastAsia" w:ascii="黑体" w:eastAsia="黑体"/>
          <w:b/>
          <w:sz w:val="32"/>
        </w:rPr>
        <w:t>第一部分</w:t>
      </w:r>
      <w:r>
        <w:rPr>
          <w:rFonts w:hint="eastAsia" w:ascii="黑体" w:eastAsia="黑体"/>
          <w:b/>
          <w:sz w:val="32"/>
          <w:lang w:val="en-US" w:eastAsia="zh-CN"/>
        </w:rPr>
        <w:t xml:space="preserve">  </w:t>
      </w:r>
      <w:r>
        <w:rPr>
          <w:rFonts w:hint="eastAsia" w:ascii="黑体" w:eastAsia="黑体"/>
          <w:b/>
          <w:sz w:val="32"/>
        </w:rPr>
        <w:t>概</w:t>
      </w:r>
      <w:r>
        <w:rPr>
          <w:rFonts w:hint="eastAsia" w:ascii="黑体" w:eastAsia="黑体"/>
          <w:b/>
          <w:sz w:val="32"/>
          <w:lang w:val="en-US" w:eastAsia="zh-CN"/>
        </w:rPr>
        <w:t xml:space="preserve">  </w:t>
      </w:r>
      <w:r>
        <w:rPr>
          <w:rFonts w:hint="eastAsia" w:ascii="黑体" w:eastAsia="黑体"/>
          <w:b/>
          <w:sz w:val="32"/>
        </w:rPr>
        <w:t>况</w:t>
      </w:r>
    </w:p>
    <w:p>
      <w:pPr>
        <w:wordWrap/>
        <w:adjustRightInd/>
        <w:spacing w:before="0" w:after="0" w:line="540" w:lineRule="exact"/>
        <w:ind w:left="720" w:right="0"/>
        <w:jc w:val="center"/>
        <w:textAlignment w:val="auto"/>
        <w:outlineLvl w:val="9"/>
        <w:rPr>
          <w:rFonts w:hint="eastAsia" w:ascii="黑体" w:eastAsia="黑体"/>
          <w:b/>
          <w:sz w:val="32"/>
        </w:rPr>
      </w:pPr>
    </w:p>
    <w:p>
      <w:pPr>
        <w:wordWrap/>
        <w:adjustRightInd/>
        <w:spacing w:before="0" w:after="0" w:line="540" w:lineRule="exact"/>
        <w:ind w:right="0" w:firstLine="800" w:firstLineChars="250"/>
        <w:textAlignment w:val="auto"/>
        <w:outlineLvl w:val="9"/>
        <w:rPr>
          <w:rFonts w:hint="eastAsia" w:ascii="黑体" w:hAnsi="黑体" w:eastAsia="黑体" w:cs="黑体"/>
          <w:b/>
          <w:sz w:val="32"/>
        </w:rPr>
      </w:pPr>
      <w:r>
        <w:rPr>
          <w:rFonts w:hint="eastAsia" w:ascii="黑体" w:hAnsi="黑体" w:eastAsia="黑体" w:cs="黑体"/>
          <w:b/>
          <w:sz w:val="32"/>
        </w:rPr>
        <w:t xml:space="preserve">一、本部门职能 </w:t>
      </w:r>
    </w:p>
    <w:p>
      <w:pPr>
        <w:wordWrap/>
        <w:adjustRightInd/>
        <w:spacing w:before="0" w:after="0" w:line="540" w:lineRule="exact"/>
        <w:ind w:right="0" w:firstLine="640" w:firstLineChars="200"/>
        <w:textAlignment w:val="auto"/>
        <w:outlineLvl w:val="9"/>
        <w:rPr>
          <w:rFonts w:ascii="仿宋_GB2312" w:hAnsi="宋体" w:eastAsia="仿宋_GB2312" w:cs="宋体"/>
          <w:kern w:val="0"/>
          <w:sz w:val="32"/>
          <w:szCs w:val="32"/>
        </w:rPr>
      </w:pPr>
      <w:r>
        <w:rPr>
          <w:rFonts w:hint="eastAsia" w:ascii="仿宋_GB2312" w:hAnsi="宋体" w:eastAsia="仿宋_GB2312" w:cs="宋体"/>
          <w:kern w:val="0"/>
          <w:sz w:val="32"/>
          <w:szCs w:val="32"/>
        </w:rPr>
        <w:t>1、负责组织司法行政法律、法规、方针、政策的实施，制定全市司法行政工作的中长期规划和年度计划并组织实施；</w:t>
      </w:r>
    </w:p>
    <w:p>
      <w:pPr>
        <w:wordWrap/>
        <w:adjustRightInd/>
        <w:spacing w:before="0" w:after="0" w:line="540" w:lineRule="exact"/>
        <w:ind w:right="0" w:firstLine="640" w:firstLineChars="200"/>
        <w:textAlignment w:val="auto"/>
        <w:outlineLvl w:val="9"/>
        <w:rPr>
          <w:rFonts w:ascii="仿宋_GB2312" w:hAnsi="宋体" w:eastAsia="仿宋_GB2312" w:cs="宋体"/>
          <w:kern w:val="0"/>
          <w:sz w:val="32"/>
          <w:szCs w:val="32"/>
        </w:rPr>
      </w:pPr>
      <w:r>
        <w:rPr>
          <w:rFonts w:hint="eastAsia" w:ascii="仿宋_GB2312" w:hAnsi="宋体" w:eastAsia="仿宋_GB2312" w:cs="宋体"/>
          <w:kern w:val="0"/>
          <w:sz w:val="32"/>
          <w:szCs w:val="32"/>
        </w:rPr>
        <w:t>2、负责全市法治宣传教育和普法依法治理工作的具体组织、协调、汇总和检查指导；</w:t>
      </w:r>
    </w:p>
    <w:p>
      <w:pPr>
        <w:wordWrap/>
        <w:adjustRightInd/>
        <w:spacing w:before="0" w:after="0" w:line="540" w:lineRule="exact"/>
        <w:ind w:right="0" w:firstLine="640" w:firstLineChars="200"/>
        <w:textAlignment w:val="auto"/>
        <w:outlineLvl w:val="9"/>
        <w:rPr>
          <w:rFonts w:ascii="仿宋_GB2312" w:hAnsi="宋体" w:eastAsia="仿宋_GB2312" w:cs="宋体"/>
          <w:kern w:val="0"/>
          <w:sz w:val="32"/>
          <w:szCs w:val="32"/>
        </w:rPr>
      </w:pPr>
      <w:r>
        <w:rPr>
          <w:rFonts w:hint="eastAsia" w:ascii="仿宋_GB2312" w:hAnsi="宋体" w:eastAsia="仿宋_GB2312" w:cs="宋体"/>
          <w:kern w:val="0"/>
          <w:sz w:val="32"/>
          <w:szCs w:val="32"/>
        </w:rPr>
        <w:t>3、负责对全市社区矫正工作的管理和指导；</w:t>
      </w:r>
    </w:p>
    <w:p>
      <w:pPr>
        <w:wordWrap/>
        <w:adjustRightInd/>
        <w:spacing w:before="0" w:after="0" w:line="540" w:lineRule="exact"/>
        <w:ind w:right="0" w:firstLine="640" w:firstLineChars="200"/>
        <w:textAlignment w:val="auto"/>
        <w:outlineLvl w:val="9"/>
        <w:rPr>
          <w:rFonts w:ascii="仿宋_GB2312" w:hAnsi="宋体" w:eastAsia="仿宋_GB2312" w:cs="宋体"/>
          <w:kern w:val="0"/>
          <w:sz w:val="32"/>
          <w:szCs w:val="32"/>
        </w:rPr>
      </w:pPr>
      <w:r>
        <w:rPr>
          <w:rFonts w:hint="eastAsia" w:ascii="仿宋_GB2312" w:hAnsi="宋体" w:eastAsia="仿宋_GB2312" w:cs="宋体"/>
          <w:kern w:val="0"/>
          <w:sz w:val="32"/>
          <w:szCs w:val="32"/>
        </w:rPr>
        <w:t>4、负责对全市律师工作的管理、监督和指导；</w:t>
      </w:r>
    </w:p>
    <w:p>
      <w:pPr>
        <w:wordWrap/>
        <w:adjustRightInd/>
        <w:spacing w:before="0" w:after="0" w:line="540" w:lineRule="exact"/>
        <w:ind w:right="0" w:firstLine="640" w:firstLineChars="200"/>
        <w:textAlignment w:val="auto"/>
        <w:outlineLvl w:val="9"/>
        <w:rPr>
          <w:rFonts w:ascii="仿宋_GB2312" w:hAnsi="宋体" w:eastAsia="仿宋_GB2312" w:cs="宋体"/>
          <w:kern w:val="0"/>
          <w:sz w:val="32"/>
          <w:szCs w:val="32"/>
        </w:rPr>
      </w:pPr>
      <w:r>
        <w:rPr>
          <w:rFonts w:hint="eastAsia" w:ascii="仿宋_GB2312" w:hAnsi="宋体" w:eastAsia="仿宋_GB2312" w:cs="宋体"/>
          <w:kern w:val="0"/>
          <w:sz w:val="32"/>
          <w:szCs w:val="32"/>
        </w:rPr>
        <w:t>5、负责对全市公证工作的管理、监督和指导；</w:t>
      </w:r>
    </w:p>
    <w:p>
      <w:pPr>
        <w:wordWrap/>
        <w:adjustRightInd/>
        <w:spacing w:before="0" w:after="0" w:line="540" w:lineRule="exact"/>
        <w:ind w:right="0" w:firstLine="640" w:firstLineChars="200"/>
        <w:textAlignment w:val="auto"/>
        <w:outlineLvl w:val="9"/>
        <w:rPr>
          <w:rFonts w:ascii="仿宋_GB2312" w:hAnsi="宋体" w:eastAsia="仿宋_GB2312" w:cs="宋体"/>
          <w:kern w:val="0"/>
          <w:sz w:val="32"/>
          <w:szCs w:val="32"/>
        </w:rPr>
      </w:pPr>
      <w:r>
        <w:rPr>
          <w:rFonts w:hint="eastAsia" w:ascii="仿宋_GB2312" w:hAnsi="宋体" w:eastAsia="仿宋_GB2312" w:cs="宋体"/>
          <w:kern w:val="0"/>
          <w:sz w:val="32"/>
          <w:szCs w:val="32"/>
        </w:rPr>
        <w:t>6、负责对全市法律援助工作的管理和指导；</w:t>
      </w:r>
    </w:p>
    <w:p>
      <w:pPr>
        <w:wordWrap/>
        <w:adjustRightInd/>
        <w:spacing w:before="0" w:after="0" w:line="540" w:lineRule="exact"/>
        <w:ind w:right="0" w:firstLine="640" w:firstLineChars="200"/>
        <w:textAlignment w:val="auto"/>
        <w:outlineLvl w:val="9"/>
        <w:rPr>
          <w:rFonts w:ascii="仿宋_GB2312" w:hAnsi="宋体" w:eastAsia="仿宋_GB2312" w:cs="宋体"/>
          <w:kern w:val="0"/>
          <w:sz w:val="32"/>
          <w:szCs w:val="32"/>
        </w:rPr>
      </w:pPr>
      <w:r>
        <w:rPr>
          <w:rFonts w:hint="eastAsia" w:ascii="仿宋_GB2312" w:hAnsi="宋体" w:eastAsia="仿宋_GB2312" w:cs="宋体"/>
          <w:kern w:val="0"/>
          <w:sz w:val="32"/>
          <w:szCs w:val="32"/>
        </w:rPr>
        <w:t>7、负责对全市司法鉴定工作的管理、监督和指导；</w:t>
      </w:r>
    </w:p>
    <w:p>
      <w:pPr>
        <w:wordWrap/>
        <w:adjustRightInd/>
        <w:spacing w:before="0" w:after="0" w:line="540" w:lineRule="exact"/>
        <w:ind w:right="0" w:firstLine="640" w:firstLineChars="200"/>
        <w:textAlignment w:val="auto"/>
        <w:outlineLvl w:val="9"/>
        <w:rPr>
          <w:rFonts w:ascii="仿宋_GB2312" w:hAnsi="宋体" w:eastAsia="仿宋_GB2312" w:cs="宋体"/>
          <w:kern w:val="0"/>
          <w:sz w:val="32"/>
          <w:szCs w:val="32"/>
        </w:rPr>
      </w:pPr>
      <w:r>
        <w:rPr>
          <w:rFonts w:hint="eastAsia" w:ascii="仿宋_GB2312" w:hAnsi="宋体" w:eastAsia="仿宋_GB2312" w:cs="宋体"/>
          <w:kern w:val="0"/>
          <w:sz w:val="32"/>
          <w:szCs w:val="32"/>
        </w:rPr>
        <w:t>8、负责对全市基层司法所建设、人民调解和基层法律服务工作的组织、管理和指导；</w:t>
      </w:r>
    </w:p>
    <w:p>
      <w:pPr>
        <w:pStyle w:val="3"/>
        <w:numPr>
          <w:ilvl w:val="0"/>
          <w:numId w:val="1"/>
        </w:numPr>
        <w:wordWrap/>
        <w:adjustRightInd/>
        <w:spacing w:before="0" w:after="0" w:line="540" w:lineRule="exact"/>
        <w:ind w:right="0" w:firstLineChars="0"/>
        <w:textAlignment w:val="auto"/>
        <w:outlineLvl w:val="9"/>
        <w:rPr>
          <w:rFonts w:ascii="仿宋_GB2312" w:hAnsi="宋体" w:eastAsia="仿宋_GB2312" w:cs="宋体"/>
          <w:kern w:val="0"/>
          <w:sz w:val="32"/>
          <w:szCs w:val="32"/>
        </w:rPr>
      </w:pPr>
      <w:r>
        <w:rPr>
          <w:rFonts w:hint="eastAsia" w:ascii="仿宋_GB2312" w:hAnsi="宋体" w:eastAsia="仿宋_GB2312" w:cs="宋体"/>
          <w:kern w:val="0"/>
          <w:sz w:val="32"/>
          <w:szCs w:val="32"/>
        </w:rPr>
        <w:t>负责对刑满释放人员的安置帮教工作；</w:t>
      </w:r>
    </w:p>
    <w:p>
      <w:pPr>
        <w:pStyle w:val="3"/>
        <w:numPr>
          <w:ilvl w:val="0"/>
          <w:numId w:val="1"/>
        </w:numPr>
        <w:wordWrap/>
        <w:adjustRightInd/>
        <w:spacing w:before="0" w:after="0" w:line="540" w:lineRule="exact"/>
        <w:ind w:right="0" w:firstLineChars="0"/>
        <w:textAlignment w:val="auto"/>
        <w:outlineLvl w:val="9"/>
        <w:rPr>
          <w:rFonts w:ascii="仿宋_GB2312" w:hAnsi="宋体" w:eastAsia="仿宋_GB2312" w:cs="宋体"/>
          <w:kern w:val="0"/>
          <w:sz w:val="32"/>
          <w:szCs w:val="32"/>
        </w:rPr>
      </w:pPr>
      <w:r>
        <w:rPr>
          <w:rFonts w:hint="eastAsia" w:ascii="仿宋_GB2312" w:hAnsi="宋体" w:eastAsia="仿宋_GB2312" w:cs="宋体"/>
          <w:kern w:val="0"/>
          <w:sz w:val="32"/>
          <w:szCs w:val="32"/>
        </w:rPr>
        <w:t>负责长治考区国家司法考试工作的组织和实施。</w:t>
      </w:r>
    </w:p>
    <w:p>
      <w:pPr>
        <w:wordWrap/>
        <w:adjustRightInd/>
        <w:spacing w:before="0" w:after="0" w:line="540" w:lineRule="exact"/>
        <w:ind w:right="0" w:firstLine="800" w:firstLineChars="250"/>
        <w:textAlignment w:val="auto"/>
        <w:outlineLvl w:val="9"/>
        <w:rPr>
          <w:rFonts w:hint="eastAsia" w:ascii="黑体" w:hAnsi="黑体" w:eastAsia="黑体" w:cs="黑体"/>
          <w:b/>
          <w:sz w:val="32"/>
        </w:rPr>
      </w:pPr>
      <w:r>
        <w:rPr>
          <w:rFonts w:hint="eastAsia" w:ascii="黑体" w:hAnsi="黑体" w:eastAsia="黑体" w:cs="黑体"/>
          <w:b/>
          <w:sz w:val="32"/>
        </w:rPr>
        <w:t>二、机构设置情况</w:t>
      </w:r>
    </w:p>
    <w:p>
      <w:pPr>
        <w:wordWrap/>
        <w:adjustRightInd/>
        <w:spacing w:before="0" w:after="0" w:line="540" w:lineRule="exact"/>
        <w:ind w:right="0" w:firstLine="640" w:firstLineChars="200"/>
        <w:textAlignment w:val="auto"/>
        <w:outlineLvl w:val="9"/>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长治市司法局机关共有内设科室10个，编制39人，实有人数34人。局直属单位有市法律援助中心，参公事业单位，16人；长治市</w:t>
      </w:r>
      <w:r>
        <w:rPr>
          <w:rFonts w:hint="eastAsia" w:ascii="仿宋_GB2312" w:hAnsi="宋体" w:eastAsia="仿宋_GB2312" w:cs="宋体"/>
          <w:kern w:val="0"/>
          <w:sz w:val="32"/>
          <w:szCs w:val="32"/>
          <w:lang w:eastAsia="zh-CN"/>
        </w:rPr>
        <w:t>长治</w:t>
      </w:r>
      <w:r>
        <w:rPr>
          <w:rFonts w:hint="eastAsia" w:ascii="仿宋_GB2312" w:hAnsi="宋体" w:eastAsia="仿宋_GB2312" w:cs="宋体"/>
          <w:kern w:val="0"/>
          <w:sz w:val="32"/>
          <w:szCs w:val="32"/>
        </w:rPr>
        <w:t>公证处，全额事业单位，19人；大路律师事务所，差额事业单位，9人。</w:t>
      </w:r>
    </w:p>
    <w:p>
      <w:pPr>
        <w:wordWrap/>
        <w:adjustRightInd/>
        <w:spacing w:before="0" w:after="0" w:line="540" w:lineRule="exact"/>
        <w:ind w:right="0" w:firstLine="640" w:firstLineChars="200"/>
        <w:textAlignment w:val="auto"/>
        <w:outlineLvl w:val="9"/>
        <w:rPr>
          <w:rFonts w:hint="eastAsia" w:ascii="仿宋_GB2312" w:hAnsi="宋体" w:eastAsia="仿宋_GB2312" w:cs="宋体"/>
          <w:kern w:val="0"/>
          <w:sz w:val="32"/>
          <w:szCs w:val="32"/>
        </w:rPr>
      </w:pPr>
    </w:p>
    <w:p>
      <w:pPr>
        <w:wordWrap/>
        <w:adjustRightInd/>
        <w:spacing w:before="0" w:after="0" w:line="540" w:lineRule="exact"/>
        <w:ind w:right="0" w:firstLine="630"/>
        <w:jc w:val="center"/>
        <w:textAlignment w:val="auto"/>
        <w:outlineLvl w:val="9"/>
        <w:rPr>
          <w:rFonts w:hint="eastAsia" w:ascii="黑体" w:hAnsi="黑体" w:eastAsia="黑体" w:cs="黑体"/>
          <w:b/>
          <w:sz w:val="32"/>
        </w:rPr>
      </w:pPr>
      <w:r>
        <w:rPr>
          <w:rFonts w:hint="eastAsia" w:ascii="黑体" w:hAnsi="黑体" w:eastAsia="黑体" w:cs="黑体"/>
          <w:b/>
          <w:sz w:val="32"/>
          <w:lang w:eastAsia="zh-CN"/>
        </w:rPr>
        <w:t>第二部分</w:t>
      </w:r>
      <w:r>
        <w:rPr>
          <w:rFonts w:hint="eastAsia" w:ascii="黑体" w:hAnsi="黑体" w:eastAsia="黑体" w:cs="黑体"/>
          <w:b/>
          <w:sz w:val="32"/>
          <w:lang w:val="en-US" w:eastAsia="zh-CN"/>
        </w:rPr>
        <w:t xml:space="preserve">  </w:t>
      </w:r>
      <w:r>
        <w:rPr>
          <w:rFonts w:hint="eastAsia" w:ascii="黑体" w:hAnsi="黑体" w:eastAsia="黑体" w:cs="黑体"/>
          <w:b/>
          <w:sz w:val="32"/>
        </w:rPr>
        <w:t>2017年度部门预算情况说明</w:t>
      </w:r>
    </w:p>
    <w:p>
      <w:pPr>
        <w:wordWrap/>
        <w:adjustRightInd/>
        <w:spacing w:before="0" w:after="0" w:line="540" w:lineRule="exact"/>
        <w:ind w:right="0" w:firstLine="630"/>
        <w:textAlignment w:val="auto"/>
        <w:outlineLvl w:val="9"/>
        <w:rPr>
          <w:rFonts w:hint="eastAsia" w:eastAsia="仿宋_GB2312"/>
          <w:sz w:val="32"/>
        </w:rPr>
      </w:pPr>
    </w:p>
    <w:p>
      <w:pPr>
        <w:wordWrap/>
        <w:adjustRightInd/>
        <w:spacing w:before="0" w:after="0" w:line="540" w:lineRule="exact"/>
        <w:ind w:right="0" w:firstLine="800" w:firstLineChars="250"/>
        <w:textAlignment w:val="auto"/>
        <w:outlineLvl w:val="9"/>
        <w:rPr>
          <w:rFonts w:hint="eastAsia" w:ascii="黑体" w:hAnsi="黑体" w:eastAsia="黑体" w:cs="黑体"/>
          <w:b/>
          <w:sz w:val="32"/>
          <w:lang w:val="en-US" w:eastAsia="zh-CN"/>
        </w:rPr>
      </w:pPr>
      <w:r>
        <w:rPr>
          <w:rFonts w:hint="eastAsia" w:ascii="黑体" w:hAnsi="黑体" w:eastAsia="黑体" w:cs="黑体"/>
          <w:b/>
          <w:sz w:val="32"/>
          <w:lang w:eastAsia="zh-CN"/>
        </w:rPr>
        <w:t>一、</w:t>
      </w:r>
      <w:r>
        <w:rPr>
          <w:rFonts w:hint="eastAsia" w:ascii="黑体" w:hAnsi="黑体" w:eastAsia="黑体" w:cs="黑体"/>
          <w:b/>
          <w:sz w:val="32"/>
          <w:lang w:val="en-US" w:eastAsia="zh-CN"/>
        </w:rPr>
        <w:t>2017年度部门预算数据变动情况及原因</w:t>
      </w:r>
    </w:p>
    <w:p>
      <w:pPr>
        <w:wordWrap/>
        <w:adjustRightInd/>
        <w:spacing w:before="0" w:after="0" w:line="540" w:lineRule="exact"/>
        <w:ind w:right="0" w:firstLine="630"/>
        <w:textAlignment w:val="auto"/>
        <w:outlineLvl w:val="9"/>
        <w:rPr>
          <w:rFonts w:hint="eastAsia" w:eastAsia="仿宋_GB2312"/>
          <w:sz w:val="32"/>
        </w:rPr>
      </w:pPr>
      <w:r>
        <w:rPr>
          <w:rFonts w:hint="eastAsia" w:eastAsia="仿宋_GB2312"/>
          <w:sz w:val="32"/>
          <w:lang w:eastAsia="zh-CN"/>
        </w:rPr>
        <w:t>长治市司法局</w:t>
      </w:r>
      <w:r>
        <w:rPr>
          <w:rFonts w:hint="eastAsia" w:eastAsia="仿宋_GB2312"/>
          <w:sz w:val="32"/>
        </w:rPr>
        <w:t>2017年</w:t>
      </w:r>
      <w:r>
        <w:rPr>
          <w:rFonts w:hint="eastAsia" w:eastAsia="仿宋_GB2312"/>
          <w:sz w:val="32"/>
          <w:lang w:eastAsia="zh-CN"/>
        </w:rPr>
        <w:t>所属</w:t>
      </w:r>
      <w:r>
        <w:rPr>
          <w:rFonts w:hint="eastAsia" w:ascii="仿宋_GB2312" w:hAnsi="宋体" w:eastAsia="仿宋_GB2312" w:cs="宋体"/>
          <w:kern w:val="0"/>
          <w:sz w:val="32"/>
          <w:szCs w:val="32"/>
        </w:rPr>
        <w:t>长治市司法局（本级）</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长治市长治公证处、长治市法律援助中心、山西大路律师事务所四个单位</w:t>
      </w:r>
      <w:r>
        <w:rPr>
          <w:rFonts w:hint="eastAsia" w:eastAsia="仿宋_GB2312"/>
          <w:sz w:val="32"/>
        </w:rPr>
        <w:t>一般公共预算资金</w:t>
      </w:r>
      <w:r>
        <w:rPr>
          <w:rFonts w:hint="eastAsia" w:eastAsia="仿宋_GB2312"/>
          <w:sz w:val="32"/>
          <w:lang w:eastAsia="zh-CN"/>
        </w:rPr>
        <w:t>收入</w:t>
      </w:r>
      <w:r>
        <w:rPr>
          <w:rFonts w:hint="eastAsia" w:eastAsia="仿宋_GB2312"/>
          <w:sz w:val="32"/>
        </w:rPr>
        <w:t>1083.4万元，比上年预算收入数984.45万元增加</w:t>
      </w:r>
      <w:r>
        <w:rPr>
          <w:rFonts w:hint="eastAsia" w:eastAsia="仿宋_GB2312"/>
          <w:sz w:val="32"/>
          <w:lang w:val="en-US" w:eastAsia="zh-CN"/>
        </w:rPr>
        <w:t>10.05</w:t>
      </w:r>
      <w:r>
        <w:rPr>
          <w:rFonts w:hint="eastAsia" w:eastAsia="仿宋_GB2312"/>
          <w:sz w:val="32"/>
        </w:rPr>
        <w:t>%；2017年预算支出1083.4万元，比上年预算</w:t>
      </w:r>
      <w:r>
        <w:rPr>
          <w:rFonts w:hint="eastAsia" w:eastAsia="仿宋_GB2312"/>
          <w:sz w:val="32"/>
          <w:lang w:eastAsia="zh-CN"/>
        </w:rPr>
        <w:t>支出</w:t>
      </w:r>
      <w:r>
        <w:rPr>
          <w:rFonts w:hint="eastAsia" w:eastAsia="仿宋_GB2312"/>
          <w:sz w:val="32"/>
        </w:rPr>
        <w:t>数984.45万元增加</w:t>
      </w:r>
      <w:r>
        <w:rPr>
          <w:rFonts w:hint="eastAsia" w:eastAsia="仿宋_GB2312"/>
          <w:sz w:val="32"/>
          <w:lang w:val="en-US" w:eastAsia="zh-CN"/>
        </w:rPr>
        <w:t>10.05</w:t>
      </w:r>
      <w:r>
        <w:rPr>
          <w:rFonts w:hint="eastAsia" w:eastAsia="仿宋_GB2312"/>
          <w:sz w:val="32"/>
        </w:rPr>
        <w:t>%</w:t>
      </w:r>
      <w:r>
        <w:rPr>
          <w:rFonts w:hint="eastAsia" w:eastAsia="仿宋_GB2312"/>
          <w:sz w:val="32"/>
          <w:lang w:eastAsia="zh-CN"/>
        </w:rPr>
        <w:t>。</w:t>
      </w:r>
      <w:r>
        <w:rPr>
          <w:rFonts w:hint="eastAsia" w:eastAsia="仿宋_GB2312"/>
          <w:sz w:val="32"/>
        </w:rPr>
        <w:t>其中</w:t>
      </w:r>
      <w:r>
        <w:rPr>
          <w:rFonts w:hint="eastAsia" w:eastAsia="仿宋_GB2312"/>
          <w:sz w:val="32"/>
          <w:lang w:eastAsia="zh-CN"/>
        </w:rPr>
        <w:t>，</w:t>
      </w:r>
      <w:r>
        <w:rPr>
          <w:rFonts w:hint="eastAsia" w:eastAsia="仿宋_GB2312"/>
          <w:sz w:val="32"/>
        </w:rPr>
        <w:t>基本支出</w:t>
      </w:r>
      <w:r>
        <w:rPr>
          <w:rFonts w:hint="eastAsia" w:eastAsia="仿宋_GB2312"/>
          <w:sz w:val="32"/>
          <w:lang w:val="en-US" w:eastAsia="zh-CN"/>
        </w:rPr>
        <w:t>753.45</w:t>
      </w:r>
      <w:r>
        <w:rPr>
          <w:rFonts w:hint="eastAsia" w:eastAsia="仿宋_GB2312"/>
          <w:sz w:val="32"/>
        </w:rPr>
        <w:t>万元，比上年预算</w:t>
      </w:r>
      <w:r>
        <w:rPr>
          <w:rFonts w:hint="eastAsia" w:eastAsia="仿宋_GB2312"/>
          <w:sz w:val="32"/>
          <w:lang w:eastAsia="zh-CN"/>
        </w:rPr>
        <w:t>支出</w:t>
      </w:r>
      <w:r>
        <w:rPr>
          <w:rFonts w:hint="eastAsia" w:eastAsia="仿宋_GB2312"/>
          <w:sz w:val="32"/>
        </w:rPr>
        <w:t>数</w:t>
      </w:r>
      <w:r>
        <w:rPr>
          <w:rFonts w:hint="eastAsia" w:eastAsia="仿宋_GB2312"/>
          <w:sz w:val="32"/>
          <w:lang w:val="en-US" w:eastAsia="zh-CN"/>
        </w:rPr>
        <w:t>670.85</w:t>
      </w:r>
      <w:r>
        <w:rPr>
          <w:rFonts w:hint="eastAsia" w:eastAsia="仿宋_GB2312"/>
          <w:sz w:val="32"/>
        </w:rPr>
        <w:t>万元增加</w:t>
      </w:r>
      <w:r>
        <w:rPr>
          <w:rFonts w:hint="eastAsia" w:eastAsia="仿宋_GB2312"/>
          <w:sz w:val="32"/>
          <w:lang w:val="en-US" w:eastAsia="zh-CN"/>
        </w:rPr>
        <w:t>12.31</w:t>
      </w:r>
      <w:r>
        <w:rPr>
          <w:rFonts w:hint="eastAsia" w:eastAsia="仿宋_GB2312"/>
          <w:sz w:val="32"/>
        </w:rPr>
        <w:t>%</w:t>
      </w:r>
      <w:r>
        <w:rPr>
          <w:rFonts w:hint="eastAsia" w:eastAsia="仿宋_GB2312"/>
          <w:sz w:val="32"/>
          <w:lang w:eastAsia="zh-CN"/>
        </w:rPr>
        <w:t>，</w:t>
      </w:r>
      <w:r>
        <w:rPr>
          <w:rFonts w:hint="eastAsia" w:eastAsia="仿宋_GB2312"/>
          <w:sz w:val="32"/>
        </w:rPr>
        <w:t>原因是工作人员工资、养老、医疗、住房公积金变动</w:t>
      </w:r>
      <w:r>
        <w:rPr>
          <w:rFonts w:hint="eastAsia" w:eastAsia="仿宋_GB2312"/>
          <w:sz w:val="32"/>
          <w:lang w:eastAsia="zh-CN"/>
        </w:rPr>
        <w:t>；</w:t>
      </w:r>
      <w:r>
        <w:rPr>
          <w:rFonts w:hint="eastAsia" w:eastAsia="仿宋_GB2312"/>
          <w:sz w:val="32"/>
        </w:rPr>
        <w:t>项目支出</w:t>
      </w:r>
      <w:r>
        <w:rPr>
          <w:rFonts w:hint="eastAsia" w:eastAsia="仿宋_GB2312"/>
          <w:sz w:val="32"/>
          <w:lang w:val="en-US" w:eastAsia="zh-CN"/>
        </w:rPr>
        <w:t>329.95</w:t>
      </w:r>
      <w:r>
        <w:rPr>
          <w:rFonts w:hint="eastAsia" w:eastAsia="仿宋_GB2312"/>
          <w:sz w:val="32"/>
        </w:rPr>
        <w:t>万元，比上年预算支出</w:t>
      </w:r>
      <w:r>
        <w:rPr>
          <w:rFonts w:hint="eastAsia" w:eastAsia="仿宋_GB2312"/>
          <w:sz w:val="32"/>
          <w:lang w:val="en-US" w:eastAsia="zh-CN"/>
        </w:rPr>
        <w:t>313.60</w:t>
      </w:r>
      <w:r>
        <w:rPr>
          <w:rFonts w:hint="eastAsia" w:eastAsia="仿宋_GB2312"/>
          <w:sz w:val="32"/>
        </w:rPr>
        <w:t>万元增加</w:t>
      </w:r>
      <w:r>
        <w:rPr>
          <w:rFonts w:hint="eastAsia" w:eastAsia="仿宋_GB2312"/>
          <w:sz w:val="32"/>
          <w:lang w:val="en-US" w:eastAsia="zh-CN"/>
        </w:rPr>
        <w:t>5.21</w:t>
      </w:r>
      <w:r>
        <w:rPr>
          <w:rFonts w:hint="eastAsia" w:eastAsia="仿宋_GB2312"/>
          <w:sz w:val="32"/>
        </w:rPr>
        <w:t>%，原因是增加了</w:t>
      </w:r>
      <w:r>
        <w:rPr>
          <w:rFonts w:hint="eastAsia" w:eastAsia="仿宋_GB2312"/>
          <w:sz w:val="32"/>
          <w:lang w:eastAsia="zh-CN"/>
        </w:rPr>
        <w:t>人民监督员</w:t>
      </w:r>
      <w:r>
        <w:rPr>
          <w:rFonts w:hint="eastAsia" w:eastAsia="仿宋_GB2312"/>
          <w:sz w:val="32"/>
        </w:rPr>
        <w:t>经费</w:t>
      </w:r>
      <w:r>
        <w:rPr>
          <w:rFonts w:hint="eastAsia" w:eastAsia="仿宋_GB2312"/>
          <w:sz w:val="32"/>
          <w:lang w:val="en-US" w:eastAsia="zh-CN"/>
        </w:rPr>
        <w:t>3.5万元</w:t>
      </w:r>
      <w:r>
        <w:rPr>
          <w:rFonts w:hint="eastAsia" w:eastAsia="仿宋_GB2312"/>
          <w:sz w:val="32"/>
          <w:lang w:eastAsia="zh-CN"/>
        </w:rPr>
        <w:t>、司法考试经费</w:t>
      </w:r>
      <w:r>
        <w:rPr>
          <w:rFonts w:hint="eastAsia" w:eastAsia="仿宋_GB2312"/>
          <w:sz w:val="32"/>
          <w:lang w:val="en-US" w:eastAsia="zh-CN"/>
        </w:rPr>
        <w:t>7万元、公证管理经费11.35万元，减少转移支付经费5万元</w:t>
      </w:r>
      <w:r>
        <w:rPr>
          <w:rFonts w:hint="eastAsia" w:eastAsia="仿宋_GB2312"/>
          <w:sz w:val="32"/>
        </w:rPr>
        <w:t>。</w:t>
      </w:r>
    </w:p>
    <w:p>
      <w:pPr>
        <w:wordWrap/>
        <w:adjustRightInd/>
        <w:spacing w:before="0" w:after="0" w:line="540" w:lineRule="exact"/>
        <w:ind w:right="0" w:firstLine="800" w:firstLineChars="250"/>
        <w:textAlignment w:val="auto"/>
        <w:outlineLvl w:val="9"/>
        <w:rPr>
          <w:rFonts w:hint="eastAsia" w:ascii="黑体" w:hAnsi="黑体" w:eastAsia="黑体" w:cs="黑体"/>
          <w:b/>
          <w:sz w:val="32"/>
          <w:lang w:val="en-US" w:eastAsia="zh-CN"/>
        </w:rPr>
      </w:pPr>
      <w:r>
        <w:rPr>
          <w:rFonts w:hint="eastAsia" w:ascii="黑体" w:hAnsi="黑体" w:eastAsia="黑体" w:cs="黑体"/>
          <w:b/>
          <w:sz w:val="32"/>
          <w:lang w:val="en-US" w:eastAsia="zh-CN"/>
        </w:rPr>
        <w:t>二、“三公”经费增减变动原因说明</w:t>
      </w:r>
    </w:p>
    <w:p>
      <w:pPr>
        <w:numPr>
          <w:numId w:val="0"/>
        </w:numPr>
        <w:wordWrap/>
        <w:adjustRightInd/>
        <w:spacing w:before="0" w:after="0" w:line="540" w:lineRule="exact"/>
        <w:ind w:right="0" w:firstLine="640" w:firstLineChars="200"/>
        <w:textAlignment w:val="auto"/>
        <w:outlineLvl w:val="9"/>
        <w:rPr>
          <w:rFonts w:hint="eastAsia" w:eastAsia="仿宋_GB2312"/>
          <w:sz w:val="32"/>
        </w:rPr>
      </w:pPr>
      <w:r>
        <w:rPr>
          <w:rFonts w:hint="eastAsia" w:eastAsia="仿宋_GB2312"/>
          <w:sz w:val="32"/>
        </w:rPr>
        <w:t>“三公”经费2017年预算24.1万元，比上年预算</w:t>
      </w:r>
      <w:r>
        <w:rPr>
          <w:rFonts w:hint="eastAsia" w:ascii="仿宋_GB2312" w:hAnsi="宋体" w:eastAsia="仿宋_GB2312" w:cs="宋体"/>
          <w:kern w:val="0"/>
          <w:sz w:val="32"/>
          <w:szCs w:val="32"/>
        </w:rPr>
        <w:t>27万</w:t>
      </w:r>
      <w:r>
        <w:rPr>
          <w:rFonts w:hint="eastAsia" w:eastAsia="仿宋_GB2312"/>
          <w:sz w:val="32"/>
        </w:rPr>
        <w:t>元</w:t>
      </w:r>
      <w:r>
        <w:rPr>
          <w:rFonts w:hint="eastAsia" w:eastAsia="仿宋_GB2312"/>
          <w:sz w:val="32"/>
          <w:lang w:eastAsia="zh-CN"/>
        </w:rPr>
        <w:t>减少</w:t>
      </w:r>
      <w:r>
        <w:rPr>
          <w:rFonts w:hint="eastAsia" w:eastAsia="仿宋_GB2312"/>
          <w:sz w:val="32"/>
          <w:lang w:val="en-US" w:eastAsia="zh-CN"/>
        </w:rPr>
        <w:t>10.74%</w:t>
      </w:r>
      <w:r>
        <w:rPr>
          <w:rFonts w:hint="eastAsia" w:eastAsia="仿宋_GB2312"/>
          <w:sz w:val="32"/>
        </w:rPr>
        <w:t>，原因是</w:t>
      </w:r>
      <w:r>
        <w:rPr>
          <w:rFonts w:hint="eastAsia" w:eastAsia="仿宋_GB2312"/>
          <w:sz w:val="32"/>
          <w:lang w:eastAsia="zh-CN"/>
        </w:rPr>
        <w:t>减少了公务用车编制数和公务接待费。</w:t>
      </w:r>
    </w:p>
    <w:p>
      <w:pPr>
        <w:wordWrap/>
        <w:adjustRightInd/>
        <w:spacing w:before="0" w:after="0" w:line="540" w:lineRule="exact"/>
        <w:ind w:right="0" w:firstLine="800" w:firstLineChars="250"/>
        <w:textAlignment w:val="auto"/>
        <w:outlineLvl w:val="9"/>
        <w:rPr>
          <w:rFonts w:hint="eastAsia" w:ascii="黑体" w:hAnsi="黑体" w:eastAsia="黑体" w:cs="黑体"/>
          <w:b/>
          <w:sz w:val="32"/>
          <w:lang w:val="en-US" w:eastAsia="zh-CN"/>
        </w:rPr>
      </w:pPr>
      <w:r>
        <w:rPr>
          <w:rFonts w:hint="eastAsia" w:ascii="黑体" w:hAnsi="黑体" w:eastAsia="黑体" w:cs="黑体"/>
          <w:b/>
          <w:sz w:val="32"/>
          <w:lang w:val="en-US" w:eastAsia="zh-CN"/>
        </w:rPr>
        <w:t>三、机关运行经费增减变动原因说明</w:t>
      </w:r>
    </w:p>
    <w:p>
      <w:pPr>
        <w:numPr>
          <w:numId w:val="0"/>
        </w:numPr>
        <w:wordWrap/>
        <w:adjustRightInd/>
        <w:spacing w:before="0" w:after="0" w:line="540" w:lineRule="exact"/>
        <w:ind w:right="0" w:firstLine="640" w:firstLineChars="200"/>
        <w:textAlignment w:val="auto"/>
        <w:outlineLvl w:val="9"/>
        <w:rPr>
          <w:rFonts w:hint="eastAsia" w:eastAsia="仿宋_GB2312"/>
          <w:sz w:val="32"/>
        </w:rPr>
      </w:pPr>
      <w:r>
        <w:rPr>
          <w:rFonts w:hint="eastAsia" w:eastAsia="仿宋_GB2312"/>
          <w:sz w:val="32"/>
        </w:rPr>
        <w:t>2017年机关运行经费预算</w:t>
      </w:r>
      <w:r>
        <w:rPr>
          <w:rFonts w:hint="eastAsia" w:eastAsia="仿宋_GB2312"/>
          <w:sz w:val="32"/>
          <w:lang w:val="en-US" w:eastAsia="zh-CN"/>
        </w:rPr>
        <w:t>113.30</w:t>
      </w:r>
      <w:r>
        <w:rPr>
          <w:rFonts w:hint="eastAsia" w:eastAsia="仿宋_GB2312"/>
          <w:sz w:val="32"/>
        </w:rPr>
        <w:t>万元，比上年预算</w:t>
      </w:r>
      <w:r>
        <w:rPr>
          <w:rFonts w:hint="eastAsia" w:eastAsia="仿宋_GB2312"/>
          <w:sz w:val="32"/>
          <w:lang w:val="en-US" w:eastAsia="zh-CN"/>
        </w:rPr>
        <w:t>117.99</w:t>
      </w:r>
      <w:r>
        <w:rPr>
          <w:rFonts w:hint="eastAsia" w:eastAsia="仿宋_GB2312"/>
          <w:sz w:val="32"/>
        </w:rPr>
        <w:t>万元减少</w:t>
      </w:r>
      <w:r>
        <w:rPr>
          <w:rFonts w:hint="eastAsia" w:eastAsia="仿宋_GB2312"/>
          <w:sz w:val="32"/>
          <w:lang w:val="en-US" w:eastAsia="zh-CN"/>
        </w:rPr>
        <w:t>3.97</w:t>
      </w:r>
      <w:r>
        <w:rPr>
          <w:rFonts w:hint="eastAsia" w:eastAsia="仿宋_GB2312"/>
          <w:sz w:val="32"/>
        </w:rPr>
        <w:t>%，原因是人头经费</w:t>
      </w:r>
      <w:r>
        <w:rPr>
          <w:rFonts w:hint="eastAsia" w:eastAsia="仿宋_GB2312"/>
          <w:sz w:val="32"/>
          <w:lang w:eastAsia="zh-CN"/>
        </w:rPr>
        <w:t>压缩</w:t>
      </w:r>
      <w:r>
        <w:rPr>
          <w:rFonts w:hint="eastAsia" w:eastAsia="仿宋_GB2312"/>
          <w:sz w:val="32"/>
        </w:rPr>
        <w:t>。</w:t>
      </w:r>
    </w:p>
    <w:p>
      <w:pPr>
        <w:wordWrap/>
        <w:adjustRightInd/>
        <w:spacing w:before="0" w:after="0" w:line="540" w:lineRule="exact"/>
        <w:ind w:right="0" w:firstLine="800" w:firstLineChars="250"/>
        <w:textAlignment w:val="auto"/>
        <w:outlineLvl w:val="9"/>
        <w:rPr>
          <w:rFonts w:hint="eastAsia" w:ascii="黑体" w:hAnsi="黑体" w:eastAsia="黑体" w:cs="黑体"/>
          <w:b/>
          <w:sz w:val="32"/>
          <w:lang w:val="en-US" w:eastAsia="zh-CN"/>
        </w:rPr>
      </w:pPr>
      <w:r>
        <w:rPr>
          <w:rFonts w:hint="eastAsia" w:ascii="黑体" w:hAnsi="黑体" w:eastAsia="黑体" w:cs="黑体"/>
          <w:b/>
          <w:sz w:val="32"/>
          <w:lang w:val="en-US" w:eastAsia="zh-CN"/>
        </w:rPr>
        <w:t>四、其他说明</w:t>
      </w:r>
    </w:p>
    <w:p>
      <w:pPr>
        <w:pStyle w:val="4"/>
        <w:wordWrap/>
        <w:adjustRightInd/>
        <w:snapToGrid w:val="0"/>
        <w:spacing w:before="0" w:beforeAutospacing="0" w:after="0" w:afterAutospacing="0" w:line="540" w:lineRule="exact"/>
        <w:ind w:right="0" w:firstLine="640" w:firstLineChars="200"/>
        <w:textAlignment w:val="auto"/>
        <w:outlineLvl w:val="9"/>
        <w:rPr>
          <w:rFonts w:hint="eastAsia" w:ascii="楷体" w:hAnsi="楷体" w:eastAsia="楷体" w:cs="楷体"/>
          <w:b/>
          <w:bCs/>
          <w:color w:val="333333"/>
          <w:sz w:val="32"/>
          <w:szCs w:val="32"/>
          <w:shd w:val="clear" w:color="auto" w:fill="FFFFFF"/>
          <w:lang w:eastAsia="zh-CN"/>
        </w:rPr>
      </w:pPr>
      <w:r>
        <w:rPr>
          <w:rFonts w:hint="eastAsia" w:ascii="楷体" w:hAnsi="楷体" w:eastAsia="楷体" w:cs="楷体"/>
          <w:b/>
          <w:bCs/>
          <w:color w:val="333333"/>
          <w:sz w:val="32"/>
          <w:szCs w:val="32"/>
          <w:shd w:val="clear" w:color="auto" w:fill="FFFFFF"/>
          <w:lang w:eastAsia="zh-CN"/>
        </w:rPr>
        <w:t>（一）政府采购情况</w:t>
      </w:r>
    </w:p>
    <w:p>
      <w:pPr>
        <w:pStyle w:val="4"/>
        <w:wordWrap/>
        <w:adjustRightInd/>
        <w:snapToGrid w:val="0"/>
        <w:spacing w:before="0" w:beforeAutospacing="0" w:after="0" w:afterAutospacing="0" w:line="540" w:lineRule="exact"/>
        <w:ind w:right="0" w:firstLine="640" w:firstLineChars="200"/>
        <w:textAlignment w:val="auto"/>
        <w:outlineLvl w:val="9"/>
        <w:rPr>
          <w:rFonts w:hint="eastAsia" w:ascii="仿宋" w:hAnsi="仿宋" w:eastAsia="仿宋"/>
          <w:color w:val="333333"/>
          <w:sz w:val="32"/>
          <w:szCs w:val="32"/>
          <w:shd w:val="clear" w:color="auto" w:fill="FFFFFF"/>
          <w:lang w:val="en-US" w:eastAsia="zh-CN"/>
        </w:rPr>
      </w:pPr>
      <w:r>
        <w:rPr>
          <w:rFonts w:hint="eastAsia" w:ascii="仿宋" w:hAnsi="仿宋" w:eastAsia="仿宋"/>
          <w:color w:val="333333"/>
          <w:sz w:val="32"/>
          <w:szCs w:val="32"/>
          <w:shd w:val="clear" w:color="auto" w:fill="FFFFFF"/>
        </w:rPr>
        <w:t>本年度</w:t>
      </w:r>
      <w:r>
        <w:rPr>
          <w:rFonts w:hint="eastAsia" w:ascii="仿宋" w:hAnsi="仿宋" w:eastAsia="仿宋"/>
          <w:color w:val="333333"/>
          <w:sz w:val="32"/>
          <w:szCs w:val="32"/>
          <w:shd w:val="clear" w:color="auto" w:fill="FFFFFF"/>
          <w:lang w:eastAsia="zh-CN"/>
        </w:rPr>
        <w:t>司法局及下属各单位政府采购预算总额</w:t>
      </w:r>
      <w:r>
        <w:rPr>
          <w:rFonts w:hint="eastAsia" w:ascii="仿宋" w:hAnsi="仿宋" w:eastAsia="仿宋"/>
          <w:color w:val="333333"/>
          <w:sz w:val="32"/>
          <w:szCs w:val="32"/>
          <w:shd w:val="clear" w:color="auto" w:fill="FFFFFF"/>
          <w:lang w:val="en-US" w:eastAsia="zh-CN"/>
        </w:rPr>
        <w:t>53万元，其中：政府采购货物预算53万元。</w:t>
      </w:r>
    </w:p>
    <w:p>
      <w:pPr>
        <w:pStyle w:val="4"/>
        <w:wordWrap/>
        <w:adjustRightInd/>
        <w:snapToGrid w:val="0"/>
        <w:spacing w:before="0" w:beforeAutospacing="0" w:after="0" w:afterAutospacing="0" w:line="540" w:lineRule="exact"/>
        <w:ind w:right="0" w:firstLine="640" w:firstLineChars="200"/>
        <w:textAlignment w:val="auto"/>
        <w:outlineLvl w:val="9"/>
        <w:rPr>
          <w:rFonts w:hint="eastAsia" w:ascii="楷体" w:hAnsi="楷体" w:eastAsia="楷体" w:cs="楷体"/>
          <w:b/>
          <w:bCs/>
          <w:color w:val="333333"/>
          <w:sz w:val="32"/>
          <w:szCs w:val="32"/>
          <w:shd w:val="clear" w:color="auto" w:fill="FFFFFF"/>
          <w:lang w:val="en-US" w:eastAsia="zh-CN"/>
        </w:rPr>
      </w:pPr>
      <w:r>
        <w:rPr>
          <w:rFonts w:hint="eastAsia" w:ascii="楷体" w:hAnsi="楷体" w:eastAsia="楷体" w:cs="楷体"/>
          <w:b/>
          <w:bCs/>
          <w:color w:val="333333"/>
          <w:sz w:val="32"/>
          <w:szCs w:val="32"/>
          <w:shd w:val="clear" w:color="auto" w:fill="FFFFFF"/>
          <w:lang w:val="en-US" w:eastAsia="zh-CN"/>
        </w:rPr>
        <w:t>（二）政府购买服务指导性目录</w:t>
      </w:r>
    </w:p>
    <w:tbl>
      <w:tblPr>
        <w:tblW w:w="9585" w:type="dxa"/>
        <w:jc w:val="center"/>
        <w:tblInd w:w="-62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5" w:type="dxa"/>
          <w:right w:w="15" w:type="dxa"/>
        </w:tblCellMar>
      </w:tblPr>
      <w:tblGrid>
        <w:gridCol w:w="1005"/>
        <w:gridCol w:w="1770"/>
        <w:gridCol w:w="2325"/>
        <w:gridCol w:w="4485"/>
      </w:tblGrid>
      <w:tr>
        <w:trPr>
          <w:trHeight w:val="825" w:hRule="atLeast"/>
          <w:jc w:val="center"/>
        </w:trPr>
        <w:tc>
          <w:tcPr>
            <w:tcW w:w="9585" w:type="dxa"/>
            <w:gridSpan w:val="4"/>
            <w:vAlign w:val="center"/>
          </w:tcPr>
          <w:p>
            <w:pPr>
              <w:autoSpaceDN w:val="0"/>
              <w:jc w:val="center"/>
              <w:textAlignment w:val="center"/>
              <w:rPr>
                <w:rFonts w:hint="default" w:ascii="方正小标宋简体" w:hAnsi="宋体"/>
                <w:b w:val="0"/>
                <w:i w:val="0"/>
                <w:color w:val="000000"/>
                <w:sz w:val="32"/>
                <w:u w:val="none"/>
              </w:rPr>
            </w:pPr>
            <w:r>
              <w:rPr>
                <w:rFonts w:hint="default" w:ascii="方正小标宋简体" w:hAnsi="宋体"/>
                <w:b w:val="0"/>
                <w:i w:val="0"/>
                <w:color w:val="000000"/>
                <w:sz w:val="32"/>
                <w:u w:val="none"/>
              </w:rPr>
              <w:t>长治市司法局向社会力量购买服务指导目录</w:t>
            </w:r>
          </w:p>
        </w:tc>
      </w:tr>
      <w:tr>
        <w:trPr>
          <w:trHeight w:val="285"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2"/>
                <w:u w:val="none"/>
              </w:rPr>
            </w:pPr>
            <w:r>
              <w:rPr>
                <w:rFonts w:hint="default" w:ascii="仿宋_GB2312" w:hAnsi="宋体"/>
                <w:b/>
                <w:i w:val="0"/>
                <w:color w:val="000000"/>
                <w:sz w:val="22"/>
                <w:u w:val="none"/>
              </w:rPr>
              <w:t>代码/</w:t>
            </w:r>
            <w:r>
              <w:rPr>
                <w:rFonts w:hint="default" w:ascii="仿宋_GB2312" w:hAnsi="宋体"/>
                <w:b/>
                <w:i w:val="0"/>
                <w:color w:val="000000"/>
                <w:sz w:val="22"/>
                <w:u w:val="none"/>
              </w:rPr>
              <w:br/>
            </w:r>
            <w:r>
              <w:rPr>
                <w:rFonts w:hint="default" w:ascii="仿宋_GB2312" w:hAnsi="宋体"/>
                <w:b/>
                <w:i w:val="0"/>
                <w:color w:val="000000"/>
                <w:sz w:val="22"/>
                <w:u w:val="none"/>
              </w:rPr>
              <w:t>目录</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2"/>
                <w:u w:val="none"/>
              </w:rPr>
            </w:pPr>
            <w:r>
              <w:rPr>
                <w:rFonts w:hint="default" w:ascii="仿宋_GB2312" w:hAnsi="宋体"/>
                <w:b/>
                <w:i w:val="0"/>
                <w:color w:val="000000"/>
                <w:sz w:val="22"/>
                <w:u w:val="none"/>
              </w:rPr>
              <w:t>一级目录</w:t>
            </w: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2"/>
                <w:u w:val="none"/>
              </w:rPr>
            </w:pPr>
            <w:r>
              <w:rPr>
                <w:rFonts w:hint="default" w:ascii="仿宋_GB2312" w:hAnsi="宋体"/>
                <w:b/>
                <w:i w:val="0"/>
                <w:color w:val="000000"/>
                <w:sz w:val="22"/>
                <w:u w:val="none"/>
              </w:rPr>
              <w:t>二级目录</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2"/>
                <w:u w:val="none"/>
              </w:rPr>
            </w:pPr>
            <w:r>
              <w:rPr>
                <w:rFonts w:hint="default" w:ascii="仿宋_GB2312" w:hAnsi="宋体"/>
                <w:b/>
                <w:i w:val="0"/>
                <w:color w:val="000000"/>
                <w:sz w:val="22"/>
                <w:u w:val="none"/>
              </w:rPr>
              <w:t>三级目录</w:t>
            </w:r>
          </w:p>
        </w:tc>
      </w:tr>
      <w:tr>
        <w:trPr>
          <w:trHeight w:val="285"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2"/>
                <w:u w:val="none"/>
              </w:rPr>
            </w:pPr>
            <w:r>
              <w:rPr>
                <w:rFonts w:hint="default" w:ascii="仿宋_GB2312" w:hAnsi="宋体"/>
                <w:b/>
                <w:i w:val="0"/>
                <w:color w:val="000000"/>
                <w:sz w:val="22"/>
                <w:u w:val="none"/>
              </w:rPr>
              <w:t>（6类）</w:t>
            </w: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2"/>
                <w:u w:val="none"/>
              </w:rPr>
            </w:pPr>
            <w:r>
              <w:rPr>
                <w:rFonts w:hint="default" w:ascii="仿宋_GB2312" w:hAnsi="宋体"/>
                <w:b/>
                <w:i w:val="0"/>
                <w:color w:val="000000"/>
                <w:sz w:val="22"/>
                <w:u w:val="none"/>
              </w:rPr>
              <w:t>（57款）</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2"/>
                <w:u w:val="none"/>
              </w:rPr>
            </w:pPr>
            <w:r>
              <w:rPr>
                <w:rFonts w:hint="default" w:ascii="仿宋_GB2312" w:hAnsi="宋体"/>
                <w:b/>
                <w:i w:val="0"/>
                <w:color w:val="000000"/>
                <w:sz w:val="22"/>
                <w:u w:val="none"/>
              </w:rPr>
              <w:t>（316项）</w:t>
            </w:r>
          </w:p>
        </w:tc>
      </w:tr>
      <w:tr>
        <w:trPr>
          <w:trHeight w:val="540"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i w:val="0"/>
                <w:color w:val="000000"/>
                <w:sz w:val="22"/>
                <w:u w:val="none"/>
              </w:rPr>
            </w:pPr>
            <w:r>
              <w:rPr>
                <w:rFonts w:hint="default" w:ascii="仿宋_GB2312" w:hAnsi="宋体"/>
                <w:b/>
                <w:i w:val="0"/>
                <w:color w:val="000000"/>
                <w:sz w:val="22"/>
                <w:u w:val="none"/>
              </w:rPr>
              <w:t>B</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2"/>
                <w:u w:val="none"/>
              </w:rPr>
            </w:pPr>
            <w:r>
              <w:rPr>
                <w:rFonts w:hint="default" w:ascii="仿宋_GB2312" w:hAnsi="宋体"/>
                <w:b/>
                <w:i w:val="0"/>
                <w:color w:val="000000"/>
                <w:sz w:val="22"/>
                <w:u w:val="none"/>
              </w:rPr>
              <w:t>社会管理服务事项</w:t>
            </w: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2"/>
                <w:u w:val="none"/>
              </w:rPr>
            </w:pPr>
            <w:r>
              <w:rPr>
                <w:rFonts w:hint="default" w:ascii="仿宋_GB2312" w:hAnsi="宋体"/>
                <w:b/>
                <w:i w:val="0"/>
                <w:color w:val="000000"/>
                <w:sz w:val="22"/>
                <w:u w:val="none"/>
              </w:rPr>
              <w:t>B12项</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i w:val="0"/>
                <w:color w:val="000000"/>
                <w:sz w:val="22"/>
                <w:u w:val="none"/>
              </w:rPr>
            </w:pP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B05</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法律援助类</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B0501</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法律援助规划及政策研究服务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B0502</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政府委托的法律援助项目的实施服务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B0503</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法律援助政策宣传与咨询</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B0504</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法律援助工作信息化建设及维护</w:t>
            </w:r>
          </w:p>
        </w:tc>
      </w:tr>
      <w:tr>
        <w:trPr>
          <w:trHeight w:val="540"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B0505</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法律援助对象情况信息收集等辅助性动态管理工作</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B0506</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政府委托的法律援助人才的培训</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B0507</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其他政府委托的法律援助服务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B08</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人民调解类</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B0801</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人民调解政策研究、咨询及宣传服务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B0802</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人民调解服务辅助性工作</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B0803</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政府组织的人民调解队伍培训</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B0804</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其他政府委托的人民调解服务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B09</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社区矫正类</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B0901</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社区矫正政策研究、咨询及宣传服务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B0902</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政府设立的社区矫正中心的维护与管理服务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B0903</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政府委托的矫正项目实施与日常管理</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B0904</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被矫正人员信息的收集等辅助性工作</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B0905</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政府委托的矫正工作队伍的日常管理及培训</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B0906</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社区矫正政策的宣传和咨询</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B0907</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被矫正人员就业指导与推荐</w:t>
            </w:r>
          </w:p>
        </w:tc>
      </w:tr>
      <w:tr>
        <w:trPr>
          <w:trHeight w:val="540"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B0908</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政府委托的矫正人员开展社区服务工作的组织与管理</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B0909</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其他政府委托的社区矫正服务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B10</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安置帮教类</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B1001</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安置帮教政策的宣传和咨询</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B1002</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安置帮教队伍的建设与培训</w:t>
            </w:r>
          </w:p>
        </w:tc>
      </w:tr>
      <w:tr>
        <w:trPr>
          <w:trHeight w:val="540"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B1003</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政府委托的安置帮教项目的实施与管理（包括职业技能、就业、心理咨询等指导）</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B1004</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其他政府委托的安置帮教事项</w:t>
            </w:r>
          </w:p>
        </w:tc>
      </w:tr>
      <w:tr>
        <w:trPr>
          <w:trHeight w:val="540"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i w:val="0"/>
                <w:color w:val="000000"/>
                <w:sz w:val="22"/>
                <w:u w:val="none"/>
              </w:rPr>
            </w:pPr>
            <w:r>
              <w:rPr>
                <w:rFonts w:hint="default" w:ascii="仿宋_GB2312" w:hAnsi="宋体"/>
                <w:b/>
                <w:i w:val="0"/>
                <w:color w:val="000000"/>
                <w:sz w:val="22"/>
                <w:u w:val="none"/>
              </w:rPr>
              <w:t>C</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2"/>
                <w:u w:val="none"/>
              </w:rPr>
            </w:pPr>
            <w:r>
              <w:rPr>
                <w:rFonts w:hint="default" w:ascii="仿宋_GB2312" w:hAnsi="宋体"/>
                <w:b/>
                <w:i w:val="0"/>
                <w:color w:val="000000"/>
                <w:sz w:val="22"/>
                <w:u w:val="none"/>
              </w:rPr>
              <w:t>行业管理与协调事项</w:t>
            </w: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2"/>
                <w:u w:val="none"/>
              </w:rPr>
            </w:pPr>
            <w:r>
              <w:rPr>
                <w:rFonts w:hint="default" w:ascii="仿宋_GB2312" w:hAnsi="宋体"/>
                <w:b/>
                <w:i w:val="0"/>
                <w:color w:val="000000"/>
                <w:sz w:val="22"/>
                <w:u w:val="none"/>
              </w:rPr>
              <w:t>C3项</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i w:val="0"/>
                <w:color w:val="000000"/>
                <w:sz w:val="22"/>
                <w:u w:val="none"/>
              </w:rPr>
            </w:pPr>
          </w:p>
        </w:tc>
      </w:tr>
      <w:tr>
        <w:trPr>
          <w:trHeight w:val="61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C01</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行业调查和行业、职业资格认定类</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C0101</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行业从业资格标准和政策研究服务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C0102</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政府组织的行业信息调查收集与发布服务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C0103</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行业准入技术标准制定辅助性工作</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C0104</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从业资格认定纠纷的技术服务及调解处理</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C0105</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产业政策符合性审核、行业准入条件审核</w:t>
            </w:r>
          </w:p>
        </w:tc>
      </w:tr>
      <w:tr>
        <w:trPr>
          <w:trHeight w:val="540"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C0106</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其他政府委托的行业资格认定和准入辅助性工作</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C02</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处理行业投诉类</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C0201</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行业管理政策研究、宣传服务</w:t>
            </w:r>
          </w:p>
        </w:tc>
      </w:tr>
      <w:tr>
        <w:trPr>
          <w:trHeight w:val="540"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C0202</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行业投诉举报热线、网站平台的维护和申诉受理服务</w:t>
            </w:r>
          </w:p>
        </w:tc>
      </w:tr>
      <w:tr>
        <w:trPr>
          <w:trHeight w:val="540"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C0203</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政府委托开展的行业投诉数据统计与分析服务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C0204</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其他政府委托的行业投诉处理服务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C03</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其他</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其他行业管理与协调事项</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i w:val="0"/>
                <w:color w:val="000000"/>
                <w:sz w:val="22"/>
                <w:u w:val="none"/>
              </w:rPr>
            </w:pPr>
            <w:r>
              <w:rPr>
                <w:rFonts w:hint="default" w:ascii="仿宋_GB2312" w:hAnsi="宋体"/>
                <w:b/>
                <w:i w:val="0"/>
                <w:color w:val="000000"/>
                <w:sz w:val="22"/>
                <w:u w:val="none"/>
              </w:rPr>
              <w:t>D</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2"/>
                <w:u w:val="none"/>
              </w:rPr>
            </w:pPr>
            <w:r>
              <w:rPr>
                <w:rFonts w:hint="default" w:ascii="仿宋_GB2312" w:hAnsi="宋体"/>
                <w:b/>
                <w:i w:val="0"/>
                <w:color w:val="000000"/>
                <w:sz w:val="22"/>
                <w:u w:val="none"/>
              </w:rPr>
              <w:t>技术服务事项*</w:t>
            </w: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2"/>
                <w:u w:val="none"/>
              </w:rPr>
            </w:pPr>
            <w:r>
              <w:rPr>
                <w:rFonts w:hint="default" w:ascii="仿宋_GB2312" w:hAnsi="宋体"/>
                <w:b/>
                <w:i w:val="0"/>
                <w:color w:val="000000"/>
                <w:sz w:val="22"/>
                <w:u w:val="none"/>
              </w:rPr>
              <w:t>D9项</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i w:val="0"/>
                <w:color w:val="000000"/>
                <w:sz w:val="22"/>
                <w:u w:val="none"/>
              </w:rPr>
            </w:pPr>
          </w:p>
        </w:tc>
      </w:tr>
      <w:tr>
        <w:trPr>
          <w:trHeight w:val="43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D02</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行业规划类</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D0201</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政府组织的行业布局等总体规划研究服务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D0202</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政府委托的专项性规划的研究</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D0203</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政府委托的行业规划评估服务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D0204</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其他政府委托的行业规划服务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D03</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行业规范类</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D0301</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政府组织的行业规范研究服务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D0302</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政府开展的行业规范评估</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D0303</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其他政府委托的行业规范服务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D04</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行业调查类</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D0401</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政府组织的经济社会发展情况调查</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D0402</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政府组织的经营状况调查</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D0403</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政府组织的社会诚信度调查</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D0404</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政府组织的服务满意度调查</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D0405</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政府组织的安全生产情况调查</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D0406</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政府组织的反倾销反补贴反垄断调查</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D0407</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其他政府委托的行业调查服务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D05</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行业统计分析类</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D0501</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行业统计指标研究、制订等辅助性工作</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D0502</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政府组织的发展评估</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D0503</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其他政府委托的行业统计分析服务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D08</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监测服务类</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D0803</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社会管理监测辅助服务</w:t>
            </w:r>
          </w:p>
        </w:tc>
      </w:tr>
      <w:tr>
        <w:trPr>
          <w:trHeight w:val="540"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i w:val="0"/>
                <w:color w:val="000000"/>
                <w:sz w:val="22"/>
                <w:u w:val="none"/>
              </w:rPr>
            </w:pPr>
            <w:r>
              <w:rPr>
                <w:rFonts w:hint="default" w:ascii="仿宋_GB2312" w:hAnsi="宋体"/>
                <w:b/>
                <w:i w:val="0"/>
                <w:color w:val="000000"/>
                <w:sz w:val="22"/>
                <w:u w:val="none"/>
              </w:rPr>
              <w:t>E</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2"/>
                <w:u w:val="none"/>
              </w:rPr>
            </w:pPr>
            <w:r>
              <w:rPr>
                <w:rFonts w:hint="default" w:ascii="仿宋_GB2312" w:hAnsi="宋体"/>
                <w:b/>
                <w:i w:val="0"/>
                <w:color w:val="000000"/>
                <w:sz w:val="22"/>
                <w:u w:val="none"/>
              </w:rPr>
              <w:t>政府履职所需辅助性事项</w:t>
            </w: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2"/>
                <w:u w:val="none"/>
              </w:rPr>
            </w:pPr>
            <w:r>
              <w:rPr>
                <w:rFonts w:hint="default" w:ascii="仿宋_GB2312" w:hAnsi="宋体"/>
                <w:b/>
                <w:i w:val="0"/>
                <w:color w:val="000000"/>
                <w:sz w:val="22"/>
                <w:u w:val="none"/>
              </w:rPr>
              <w:t>E13项</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i w:val="0"/>
                <w:color w:val="000000"/>
                <w:sz w:val="22"/>
                <w:u w:val="none"/>
              </w:rPr>
            </w:pP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E01</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法律服务类</w:t>
            </w: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E0101</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行政诉讼代理应诉法律服务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E0102</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政府法律顾问服务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E0103</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政府法律咨询服务</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E0104</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政府非诉讼法律代理服务（含文书和证明）</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E0105</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行政调解辅助性工作</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E0106</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司法救助辅助性工作</w:t>
            </w:r>
          </w:p>
        </w:tc>
      </w:tr>
      <w:tr>
        <w:trPr>
          <w:trHeight w:val="285" w:hRule="atLeast"/>
          <w:jc w:val="center"/>
        </w:trPr>
        <w:tc>
          <w:tcPr>
            <w:tcW w:w="100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E0107</w:t>
            </w:r>
          </w:p>
        </w:tc>
        <w:tc>
          <w:tcPr>
            <w:tcW w:w="177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232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2"/>
                <w:u w:val="none"/>
              </w:rPr>
            </w:pPr>
          </w:p>
        </w:tc>
        <w:tc>
          <w:tcPr>
            <w:tcW w:w="4485"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2"/>
                <w:u w:val="none"/>
              </w:rPr>
            </w:pPr>
            <w:r>
              <w:rPr>
                <w:rFonts w:hint="default" w:ascii="仿宋_GB2312" w:hAnsi="宋体"/>
                <w:b w:val="0"/>
                <w:i w:val="0"/>
                <w:color w:val="000000"/>
                <w:sz w:val="22"/>
                <w:u w:val="none"/>
              </w:rPr>
              <w:t>其他政府委托的法律服务</w:t>
            </w:r>
          </w:p>
        </w:tc>
      </w:tr>
      <w:tr>
        <w:trPr>
          <w:trHeight w:val="615" w:hRule="atLeast"/>
          <w:jc w:val="center"/>
        </w:trPr>
        <w:tc>
          <w:tcPr>
            <w:tcW w:w="9585" w:type="dxa"/>
            <w:gridSpan w:val="4"/>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 xml:space="preserve">    备注：行业管理与协调事项中涉及律师、公证、司法鉴定、基层法律服务工作、人民调解等与司法行政相关的行业。</w:t>
            </w:r>
          </w:p>
        </w:tc>
      </w:tr>
    </w:tbl>
    <w:p>
      <w:pPr>
        <w:pStyle w:val="4"/>
        <w:widowControl/>
        <w:numPr>
          <w:numId w:val="0"/>
        </w:numPr>
        <w:wordWrap/>
        <w:adjustRightInd/>
        <w:snapToGrid w:val="0"/>
        <w:spacing w:before="0" w:beforeAutospacing="0" w:after="0" w:afterAutospacing="0" w:line="540" w:lineRule="exact"/>
        <w:ind w:left="0" w:leftChars="0" w:right="0"/>
        <w:jc w:val="left"/>
        <w:textAlignment w:val="auto"/>
        <w:outlineLvl w:val="9"/>
        <w:rPr>
          <w:rFonts w:hint="eastAsia" w:ascii="仿宋" w:hAnsi="仿宋" w:eastAsia="仿宋"/>
          <w:color w:val="333333"/>
          <w:sz w:val="32"/>
          <w:szCs w:val="32"/>
          <w:shd w:val="clear" w:color="auto" w:fill="FFFFFF"/>
          <w:lang w:val="en-US" w:eastAsia="zh-CN"/>
        </w:rPr>
      </w:pPr>
    </w:p>
    <w:p>
      <w:pPr>
        <w:pStyle w:val="4"/>
        <w:wordWrap/>
        <w:adjustRightInd/>
        <w:snapToGrid w:val="0"/>
        <w:spacing w:before="0" w:beforeAutospacing="0" w:after="0" w:afterAutospacing="0" w:line="540" w:lineRule="exact"/>
        <w:ind w:left="0" w:leftChars="0" w:right="0" w:firstLine="640" w:firstLineChars="200"/>
        <w:textAlignment w:val="auto"/>
        <w:outlineLvl w:val="9"/>
        <w:rPr>
          <w:rFonts w:hint="eastAsia" w:ascii="楷体" w:hAnsi="楷体" w:eastAsia="楷体" w:cs="楷体"/>
          <w:b/>
          <w:bCs/>
          <w:color w:val="333333"/>
          <w:sz w:val="32"/>
          <w:szCs w:val="32"/>
          <w:shd w:val="clear" w:color="auto" w:fill="FFFFFF"/>
          <w:lang w:val="en-US" w:eastAsia="zh-CN"/>
        </w:rPr>
      </w:pPr>
      <w:r>
        <w:rPr>
          <w:rFonts w:hint="eastAsia" w:ascii="楷体" w:hAnsi="楷体" w:eastAsia="楷体" w:cs="楷体"/>
          <w:b/>
          <w:bCs/>
          <w:color w:val="333333"/>
          <w:sz w:val="32"/>
          <w:szCs w:val="32"/>
          <w:shd w:val="clear" w:color="auto" w:fill="FFFFFF"/>
          <w:lang w:val="en-US" w:eastAsia="zh-CN"/>
        </w:rPr>
        <w:t>（三）国有资产占有使用情况</w:t>
      </w:r>
    </w:p>
    <w:p>
      <w:pPr>
        <w:pStyle w:val="4"/>
        <w:numPr>
          <w:numId w:val="0"/>
        </w:numPr>
        <w:wordWrap/>
        <w:adjustRightInd/>
        <w:snapToGrid w:val="0"/>
        <w:spacing w:before="0" w:beforeAutospacing="0" w:after="0" w:afterAutospacing="0" w:line="540" w:lineRule="exact"/>
        <w:ind w:left="0" w:leftChars="0" w:right="0" w:firstLine="640" w:firstLineChars="200"/>
        <w:textAlignment w:val="auto"/>
        <w:outlineLvl w:val="9"/>
        <w:rPr>
          <w:rFonts w:hint="eastAsia" w:ascii="仿宋" w:hAnsi="仿宋" w:eastAsia="仿宋"/>
          <w:color w:val="333333"/>
          <w:sz w:val="32"/>
          <w:szCs w:val="32"/>
          <w:shd w:val="clear" w:color="auto" w:fill="FFFFFF"/>
          <w:lang w:val="en-US" w:eastAsia="zh-CN"/>
        </w:rPr>
      </w:pPr>
      <w:r>
        <w:rPr>
          <w:rFonts w:hint="eastAsia" w:ascii="仿宋" w:hAnsi="仿宋" w:eastAsia="仿宋"/>
          <w:color w:val="333333"/>
          <w:sz w:val="32"/>
          <w:szCs w:val="32"/>
          <w:shd w:val="clear" w:color="auto" w:fill="FFFFFF"/>
          <w:lang w:val="en-US" w:eastAsia="zh-CN"/>
        </w:rPr>
        <w:t>1.车辆情况：</w:t>
      </w:r>
      <w:r>
        <w:rPr>
          <w:rFonts w:hint="eastAsia" w:ascii="仿宋" w:hAnsi="仿宋" w:eastAsia="仿宋"/>
          <w:color w:val="333333"/>
          <w:sz w:val="32"/>
          <w:szCs w:val="32"/>
          <w:shd w:val="clear" w:color="auto" w:fill="FFFFFF"/>
          <w:lang w:eastAsia="zh-CN"/>
        </w:rPr>
        <w:t>司法局及下属各单位共有公车</w:t>
      </w:r>
      <w:r>
        <w:rPr>
          <w:rFonts w:hint="eastAsia" w:ascii="仿宋" w:hAnsi="仿宋" w:eastAsia="仿宋"/>
          <w:color w:val="333333"/>
          <w:sz w:val="32"/>
          <w:szCs w:val="32"/>
          <w:shd w:val="clear" w:color="auto" w:fill="FFFFFF"/>
          <w:lang w:val="en-US" w:eastAsia="zh-CN"/>
        </w:rPr>
        <w:t>9辆。</w:t>
      </w:r>
    </w:p>
    <w:p>
      <w:pPr>
        <w:pStyle w:val="4"/>
        <w:numPr>
          <w:numId w:val="0"/>
        </w:numPr>
        <w:wordWrap/>
        <w:adjustRightInd/>
        <w:snapToGrid w:val="0"/>
        <w:spacing w:before="0" w:beforeAutospacing="0" w:after="0" w:afterAutospacing="0" w:line="540" w:lineRule="exact"/>
        <w:ind w:left="0" w:leftChars="0" w:right="0" w:firstLine="640" w:firstLineChars="200"/>
        <w:textAlignment w:val="auto"/>
        <w:outlineLvl w:val="9"/>
        <w:rPr>
          <w:rFonts w:hint="eastAsia" w:ascii="仿宋" w:hAnsi="仿宋" w:eastAsia="仿宋"/>
          <w:color w:val="333333"/>
          <w:sz w:val="32"/>
          <w:szCs w:val="32"/>
          <w:shd w:val="clear" w:color="auto" w:fill="FFFFFF"/>
          <w:lang w:val="en-US" w:eastAsia="zh-CN"/>
        </w:rPr>
      </w:pPr>
      <w:r>
        <w:rPr>
          <w:rFonts w:hint="eastAsia" w:ascii="仿宋" w:hAnsi="仿宋" w:eastAsia="仿宋"/>
          <w:color w:val="333333"/>
          <w:sz w:val="32"/>
          <w:szCs w:val="32"/>
          <w:shd w:val="clear" w:color="auto" w:fill="FFFFFF"/>
          <w:lang w:val="en-US" w:eastAsia="zh-CN"/>
        </w:rPr>
        <w:t>2.房屋情况：</w:t>
      </w:r>
      <w:r>
        <w:rPr>
          <w:rFonts w:hint="eastAsia" w:ascii="仿宋" w:hAnsi="仿宋" w:eastAsia="仿宋"/>
          <w:color w:val="333333"/>
          <w:sz w:val="32"/>
          <w:szCs w:val="32"/>
          <w:shd w:val="clear" w:color="auto" w:fill="FFFFFF"/>
          <w:lang w:eastAsia="zh-CN"/>
        </w:rPr>
        <w:t>司法局及下属各单位共有办公用房</w:t>
      </w:r>
      <w:r>
        <w:rPr>
          <w:rFonts w:hint="eastAsia" w:ascii="仿宋" w:hAnsi="仿宋" w:eastAsia="仿宋"/>
          <w:color w:val="333333"/>
          <w:sz w:val="32"/>
          <w:szCs w:val="32"/>
          <w:shd w:val="clear" w:color="auto" w:fill="FFFFFF"/>
          <w:lang w:val="en-US" w:eastAsia="zh-CN"/>
        </w:rPr>
        <w:t>3580平方米，价值126.8万元。</w:t>
      </w:r>
    </w:p>
    <w:p>
      <w:pPr>
        <w:pStyle w:val="4"/>
        <w:numPr>
          <w:numId w:val="0"/>
        </w:numPr>
        <w:wordWrap/>
        <w:adjustRightInd/>
        <w:snapToGrid w:val="0"/>
        <w:spacing w:before="0" w:beforeAutospacing="0" w:after="0" w:afterAutospacing="0" w:line="540" w:lineRule="exact"/>
        <w:ind w:left="0" w:leftChars="0" w:right="0" w:firstLine="640" w:firstLineChars="200"/>
        <w:textAlignment w:val="auto"/>
        <w:outlineLvl w:val="9"/>
        <w:rPr>
          <w:rFonts w:hint="eastAsia" w:ascii="仿宋" w:hAnsi="仿宋" w:eastAsia="仿宋"/>
          <w:color w:val="333333"/>
          <w:sz w:val="32"/>
          <w:szCs w:val="32"/>
          <w:shd w:val="clear" w:color="auto" w:fill="FFFFFF"/>
          <w:lang w:val="en-US" w:eastAsia="zh-CN"/>
        </w:rPr>
      </w:pPr>
      <w:r>
        <w:rPr>
          <w:rFonts w:hint="eastAsia" w:ascii="仿宋" w:hAnsi="仿宋" w:eastAsia="仿宋"/>
          <w:color w:val="333333"/>
          <w:sz w:val="32"/>
          <w:szCs w:val="32"/>
          <w:shd w:val="clear" w:color="auto" w:fill="FFFFFF"/>
          <w:lang w:val="en-US" w:eastAsia="zh-CN"/>
        </w:rPr>
        <w:t>3.其他国有资产占有使用情况：</w:t>
      </w:r>
      <w:r>
        <w:rPr>
          <w:rFonts w:hint="eastAsia" w:ascii="仿宋" w:hAnsi="仿宋" w:eastAsia="仿宋"/>
          <w:color w:val="333333"/>
          <w:sz w:val="32"/>
          <w:szCs w:val="32"/>
          <w:shd w:val="clear" w:color="auto" w:fill="FFFFFF"/>
          <w:lang w:eastAsia="zh-CN"/>
        </w:rPr>
        <w:t>司法局及下属各单位</w:t>
      </w:r>
      <w:r>
        <w:rPr>
          <w:rFonts w:hint="eastAsia" w:ascii="仿宋" w:hAnsi="仿宋" w:eastAsia="仿宋"/>
          <w:color w:val="333333"/>
          <w:sz w:val="32"/>
          <w:szCs w:val="32"/>
          <w:shd w:val="clear" w:color="auto" w:fill="FFFFFF"/>
          <w:lang w:val="en-US" w:eastAsia="zh-CN"/>
        </w:rPr>
        <w:t>2016年底占有其他固定资产401.01万元。</w:t>
      </w:r>
    </w:p>
    <w:p>
      <w:pPr>
        <w:pStyle w:val="4"/>
        <w:wordWrap/>
        <w:adjustRightInd/>
        <w:snapToGrid w:val="0"/>
        <w:spacing w:before="0" w:beforeAutospacing="0" w:after="0" w:afterAutospacing="0" w:line="540" w:lineRule="exact"/>
        <w:ind w:left="0" w:leftChars="0" w:right="0" w:firstLine="640" w:firstLineChars="200"/>
        <w:textAlignment w:val="auto"/>
        <w:outlineLvl w:val="9"/>
        <w:rPr>
          <w:rFonts w:hint="eastAsia" w:ascii="楷体" w:hAnsi="楷体" w:eastAsia="楷体" w:cs="楷体"/>
          <w:b/>
          <w:bCs/>
          <w:color w:val="333333"/>
          <w:sz w:val="32"/>
          <w:szCs w:val="32"/>
          <w:shd w:val="clear" w:color="auto" w:fill="FFFFFF"/>
          <w:lang w:val="en-US" w:eastAsia="zh-CN"/>
        </w:rPr>
      </w:pPr>
      <w:r>
        <w:rPr>
          <w:rFonts w:hint="eastAsia" w:ascii="楷体" w:hAnsi="楷体" w:eastAsia="楷体" w:cs="楷体"/>
          <w:b/>
          <w:bCs/>
          <w:color w:val="333333"/>
          <w:sz w:val="32"/>
          <w:szCs w:val="32"/>
          <w:shd w:val="clear" w:color="auto" w:fill="FFFFFF"/>
          <w:lang w:val="en-US" w:eastAsia="zh-CN"/>
        </w:rPr>
        <w:t>（四）绩效管理情况</w:t>
      </w:r>
    </w:p>
    <w:p>
      <w:pPr>
        <w:pStyle w:val="4"/>
        <w:numPr>
          <w:numId w:val="0"/>
        </w:numPr>
        <w:wordWrap/>
        <w:adjustRightInd/>
        <w:snapToGrid w:val="0"/>
        <w:spacing w:before="0" w:beforeAutospacing="0" w:after="0" w:afterAutospacing="0" w:line="540" w:lineRule="exact"/>
        <w:ind w:left="0" w:leftChars="0" w:right="0" w:firstLine="640" w:firstLineChars="200"/>
        <w:textAlignment w:val="auto"/>
        <w:outlineLvl w:val="9"/>
        <w:rPr>
          <w:rFonts w:hint="eastAsia" w:eastAsia="仿宋_GB2312"/>
          <w:sz w:val="32"/>
        </w:rPr>
      </w:pPr>
      <w:r>
        <w:rPr>
          <w:rFonts w:hint="eastAsia" w:ascii="仿宋" w:hAnsi="仿宋" w:eastAsia="仿宋"/>
          <w:color w:val="333333"/>
          <w:sz w:val="32"/>
          <w:szCs w:val="32"/>
          <w:shd w:val="clear" w:color="auto" w:fill="FFFFFF"/>
          <w:lang w:val="en-US" w:eastAsia="zh-CN"/>
        </w:rPr>
        <w:t>2017年</w:t>
      </w:r>
      <w:r>
        <w:rPr>
          <w:rFonts w:hint="eastAsia" w:ascii="仿宋" w:hAnsi="仿宋" w:eastAsia="仿宋"/>
          <w:color w:val="333333"/>
          <w:sz w:val="32"/>
          <w:szCs w:val="32"/>
          <w:shd w:val="clear" w:color="auto" w:fill="FFFFFF"/>
          <w:lang w:eastAsia="zh-CN"/>
        </w:rPr>
        <w:t>司法局及下属各单位实行绩效目标管理的项目</w:t>
      </w:r>
      <w:r>
        <w:rPr>
          <w:rFonts w:hint="eastAsia" w:ascii="仿宋" w:hAnsi="仿宋" w:eastAsia="仿宋"/>
          <w:color w:val="333333"/>
          <w:sz w:val="32"/>
          <w:szCs w:val="32"/>
          <w:shd w:val="clear" w:color="auto" w:fill="FFFFFF"/>
          <w:lang w:val="en-US" w:eastAsia="zh-CN"/>
        </w:rPr>
        <w:t>1个：社区矫正项目，涉及一般公共预算当年拨款40万元。</w:t>
      </w:r>
    </w:p>
    <w:p>
      <w:pPr>
        <w:wordWrap/>
        <w:adjustRightInd/>
        <w:spacing w:before="0" w:after="0" w:line="540" w:lineRule="exact"/>
        <w:ind w:left="0" w:leftChars="0" w:right="0" w:firstLine="630"/>
        <w:jc w:val="center"/>
        <w:textAlignment w:val="auto"/>
        <w:outlineLvl w:val="9"/>
        <w:rPr>
          <w:rFonts w:hint="eastAsia" w:ascii="黑体" w:hAnsi="黑体" w:eastAsia="黑体" w:cs="黑体"/>
          <w:b/>
          <w:sz w:val="32"/>
          <w:lang w:eastAsia="zh-CN"/>
        </w:rPr>
      </w:pPr>
    </w:p>
    <w:p>
      <w:pPr>
        <w:wordWrap/>
        <w:adjustRightInd/>
        <w:spacing w:before="0" w:after="0" w:line="540" w:lineRule="exact"/>
        <w:ind w:left="0" w:leftChars="0" w:right="0" w:firstLine="630"/>
        <w:jc w:val="center"/>
        <w:textAlignment w:val="auto"/>
        <w:outlineLvl w:val="9"/>
        <w:rPr>
          <w:rFonts w:hint="eastAsia" w:ascii="黑体" w:hAnsi="黑体" w:eastAsia="黑体" w:cs="黑体"/>
          <w:b/>
          <w:sz w:val="32"/>
        </w:rPr>
      </w:pPr>
      <w:r>
        <w:rPr>
          <w:rFonts w:hint="eastAsia" w:ascii="黑体" w:hAnsi="黑体" w:eastAsia="黑体" w:cs="黑体"/>
          <w:b/>
          <w:sz w:val="32"/>
          <w:lang w:eastAsia="zh-CN"/>
        </w:rPr>
        <w:t>第三部分</w:t>
      </w:r>
      <w:r>
        <w:rPr>
          <w:rFonts w:hint="eastAsia" w:ascii="黑体" w:hAnsi="黑体" w:eastAsia="黑体" w:cs="黑体"/>
          <w:b/>
          <w:sz w:val="32"/>
          <w:lang w:val="en-US" w:eastAsia="zh-CN"/>
        </w:rPr>
        <w:t xml:space="preserve"> </w:t>
      </w:r>
      <w:r>
        <w:rPr>
          <w:rFonts w:hint="eastAsia" w:ascii="黑体" w:hAnsi="黑体" w:eastAsia="黑体" w:cs="黑体"/>
          <w:b/>
          <w:sz w:val="32"/>
        </w:rPr>
        <w:t>名词解释</w:t>
      </w:r>
    </w:p>
    <w:p>
      <w:pPr>
        <w:wordWrap/>
        <w:adjustRightInd/>
        <w:spacing w:before="0" w:after="0" w:line="540" w:lineRule="exact"/>
        <w:ind w:left="0" w:leftChars="0" w:right="0" w:firstLine="630"/>
        <w:jc w:val="center"/>
        <w:textAlignment w:val="auto"/>
        <w:outlineLvl w:val="9"/>
        <w:rPr>
          <w:rFonts w:hint="eastAsia" w:ascii="黑体" w:hAnsi="黑体" w:eastAsia="黑体" w:cs="黑体"/>
          <w:b/>
          <w:sz w:val="32"/>
        </w:rPr>
      </w:pPr>
    </w:p>
    <w:p>
      <w:pPr>
        <w:wordWrap/>
        <w:adjustRightInd/>
        <w:spacing w:before="0" w:after="0" w:line="540" w:lineRule="exact"/>
        <w:ind w:left="0" w:leftChars="0" w:right="0" w:firstLine="630"/>
        <w:textAlignment w:val="auto"/>
        <w:outlineLvl w:val="9"/>
        <w:rPr>
          <w:rFonts w:hint="eastAsia" w:eastAsia="仿宋_GB2312"/>
          <w:sz w:val="32"/>
        </w:rPr>
      </w:pPr>
      <w:r>
        <w:rPr>
          <w:rFonts w:hint="eastAsia" w:eastAsia="仿宋_GB2312"/>
          <w:sz w:val="32"/>
        </w:rPr>
        <w:t>（一）基本支出：指为保障机构正常运转、完成日常工作任务而发生的人员支出和公用支出。</w:t>
      </w:r>
    </w:p>
    <w:p>
      <w:pPr>
        <w:wordWrap/>
        <w:adjustRightInd/>
        <w:spacing w:before="0" w:after="0" w:line="540" w:lineRule="exact"/>
        <w:ind w:left="0" w:leftChars="0" w:right="0" w:firstLine="630"/>
        <w:textAlignment w:val="auto"/>
        <w:outlineLvl w:val="9"/>
        <w:rPr>
          <w:rFonts w:hint="eastAsia" w:eastAsia="仿宋_GB2312"/>
          <w:sz w:val="32"/>
        </w:rPr>
      </w:pPr>
      <w:r>
        <w:rPr>
          <w:rFonts w:hint="eastAsia" w:eastAsia="仿宋_GB2312"/>
          <w:sz w:val="32"/>
        </w:rPr>
        <w:t>（二）项目支出：指在基本支出之外为完成单位工作的日常开支等支出。</w:t>
      </w:r>
    </w:p>
    <w:p>
      <w:pPr>
        <w:wordWrap/>
        <w:adjustRightInd/>
        <w:spacing w:before="0" w:after="0" w:line="540" w:lineRule="exact"/>
        <w:ind w:left="0" w:leftChars="0" w:right="0" w:firstLine="630"/>
        <w:textAlignment w:val="auto"/>
        <w:outlineLvl w:val="9"/>
        <w:rPr>
          <w:rFonts w:hint="eastAsia" w:eastAsia="仿宋_GB2312"/>
          <w:sz w:val="32"/>
        </w:rPr>
      </w:pPr>
      <w:r>
        <w:rPr>
          <w:rFonts w:hint="eastAsia" w:eastAsia="仿宋_GB2312"/>
          <w:sz w:val="32"/>
        </w:rPr>
        <w:t>（三）“三公”经费：指单位一般公共预算安排的因公出国（境）费、公务用车购置及运行费和公务接待费用。</w:t>
      </w:r>
    </w:p>
    <w:p>
      <w:pPr>
        <w:wordWrap/>
        <w:adjustRightInd/>
        <w:spacing w:before="0" w:after="0" w:line="540" w:lineRule="exact"/>
        <w:ind w:left="0" w:leftChars="0" w:right="0" w:firstLine="630"/>
        <w:textAlignment w:val="auto"/>
        <w:outlineLvl w:val="9"/>
        <w:rPr>
          <w:rFonts w:hint="eastAsia" w:eastAsia="仿宋_GB2312"/>
          <w:sz w:val="32"/>
        </w:rPr>
      </w:pPr>
      <w:r>
        <w:rPr>
          <w:rFonts w:hint="eastAsia" w:eastAsia="仿宋_GB2312"/>
          <w:sz w:val="32"/>
        </w:rPr>
        <w:t>（四）机关运行经费：指行政单位和参照公务员法管理的事业单位使用一般公共预算安排的基本支出中的日常公用经费支出。</w:t>
      </w:r>
    </w:p>
    <w:p>
      <w:pPr>
        <w:wordWrap/>
        <w:adjustRightInd/>
        <w:spacing w:before="0" w:after="0" w:line="540" w:lineRule="exact"/>
        <w:ind w:left="0" w:leftChars="0" w:right="0" w:firstLine="630"/>
        <w:textAlignment w:val="auto"/>
        <w:outlineLvl w:val="9"/>
        <w:rPr>
          <w:rFonts w:hint="eastAsia" w:eastAsia="仿宋_GB2312"/>
          <w:sz w:val="32"/>
        </w:rPr>
      </w:pPr>
    </w:p>
    <w:p>
      <w:pPr>
        <w:wordWrap w:val="0"/>
        <w:adjustRightInd/>
        <w:spacing w:before="0" w:after="0" w:line="540" w:lineRule="exact"/>
        <w:ind w:left="0" w:leftChars="0" w:right="0" w:firstLine="630"/>
        <w:jc w:val="right"/>
        <w:textAlignment w:val="auto"/>
        <w:outlineLvl w:val="9"/>
        <w:rPr>
          <w:rFonts w:hint="eastAsia" w:eastAsia="仿宋_GB2312"/>
          <w:sz w:val="32"/>
          <w:lang w:eastAsia="zh-CN"/>
        </w:rPr>
      </w:pPr>
      <w:r>
        <w:rPr>
          <w:rFonts w:hint="eastAsia" w:eastAsia="仿宋_GB2312"/>
          <w:sz w:val="32"/>
          <w:lang w:eastAsia="zh-CN"/>
        </w:rPr>
        <w:t>长治市司法局</w:t>
      </w:r>
      <w:r>
        <w:rPr>
          <w:rFonts w:hint="eastAsia" w:eastAsia="仿宋_GB2312"/>
          <w:sz w:val="32"/>
          <w:lang w:val="en-US" w:eastAsia="zh-CN"/>
        </w:rPr>
        <w:t xml:space="preserve">   </w:t>
      </w:r>
      <w:bookmarkStart w:id="0" w:name="_GoBack"/>
      <w:bookmarkEnd w:id="0"/>
      <w:r>
        <w:rPr>
          <w:rFonts w:hint="eastAsia" w:eastAsia="仿宋_GB2312"/>
          <w:sz w:val="32"/>
          <w:lang w:val="en-US" w:eastAsia="zh-CN"/>
        </w:rPr>
        <w:t xml:space="preserve">   </w:t>
      </w:r>
    </w:p>
    <w:p>
      <w:pPr>
        <w:wordWrap w:val="0"/>
        <w:adjustRightInd/>
        <w:spacing w:before="0" w:after="0" w:line="540" w:lineRule="exact"/>
        <w:ind w:left="0" w:leftChars="0" w:right="0" w:firstLine="630"/>
        <w:jc w:val="right"/>
        <w:textAlignment w:val="auto"/>
        <w:outlineLvl w:val="9"/>
        <w:rPr>
          <w:rFonts w:hint="eastAsia" w:eastAsia="仿宋_GB2312"/>
          <w:sz w:val="32"/>
          <w:lang w:val="en-US" w:eastAsia="zh-CN"/>
        </w:rPr>
      </w:pPr>
      <w:r>
        <w:rPr>
          <w:rFonts w:hint="eastAsia" w:eastAsia="仿宋_GB2312"/>
          <w:sz w:val="32"/>
          <w:lang w:val="en-US" w:eastAsia="zh-CN"/>
        </w:rPr>
        <w:t xml:space="preserve">2017年4月20日    </w:t>
      </w:r>
    </w:p>
    <w:sectPr>
      <w:pgSz w:w="11906" w:h="16838"/>
      <w:pgMar w:top="2268" w:right="1797" w:bottom="1440" w:left="1797"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80E0000" w:usb2="00000010" w:usb3="00000000" w:csb0="00040000" w:csb1="00000000"/>
  </w:font>
  <w:font w:name="Cambria">
    <w:panose1 w:val="02040503050406030204"/>
    <w:charset w:val="00"/>
    <w:family w:val="auto"/>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01"/>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08422960">
    <w:nsid w:val="0C6C4830"/>
    <w:multiLevelType w:val="multilevel"/>
    <w:tmpl w:val="0C6C4830"/>
    <w:lvl w:ilvl="0" w:tentative="1">
      <w:start w:val="9"/>
      <w:numFmt w:val="decimal"/>
      <w:lvlText w:val="%1、"/>
      <w:lvlJc w:val="left"/>
      <w:pPr>
        <w:ind w:left="1360" w:hanging="720"/>
      </w:pPr>
      <w:rPr>
        <w:rFonts w:hint="default"/>
      </w:rPr>
    </w:lvl>
    <w:lvl w:ilvl="1" w:tentative="1">
      <w:start w:val="1"/>
      <w:numFmt w:val="lowerLetter"/>
      <w:lvlText w:val="%2)"/>
      <w:lvlJc w:val="left"/>
      <w:pPr>
        <w:ind w:left="1480" w:hanging="420"/>
      </w:pPr>
    </w:lvl>
    <w:lvl w:ilvl="2" w:tentative="1">
      <w:start w:val="1"/>
      <w:numFmt w:val="lowerRoman"/>
      <w:lvlText w:val="%3."/>
      <w:lvlJc w:val="right"/>
      <w:pPr>
        <w:ind w:left="1900" w:hanging="420"/>
      </w:pPr>
    </w:lvl>
    <w:lvl w:ilvl="3" w:tentative="1">
      <w:start w:val="1"/>
      <w:numFmt w:val="decimal"/>
      <w:lvlText w:val="%4."/>
      <w:lvlJc w:val="left"/>
      <w:pPr>
        <w:ind w:left="2320" w:hanging="420"/>
      </w:pPr>
    </w:lvl>
    <w:lvl w:ilvl="4" w:tentative="1">
      <w:start w:val="1"/>
      <w:numFmt w:val="lowerLetter"/>
      <w:lvlText w:val="%5)"/>
      <w:lvlJc w:val="left"/>
      <w:pPr>
        <w:ind w:left="2740" w:hanging="420"/>
      </w:pPr>
    </w:lvl>
    <w:lvl w:ilvl="5" w:tentative="1">
      <w:start w:val="1"/>
      <w:numFmt w:val="lowerRoman"/>
      <w:lvlText w:val="%6."/>
      <w:lvlJc w:val="right"/>
      <w:pPr>
        <w:ind w:left="3160" w:hanging="420"/>
      </w:pPr>
    </w:lvl>
    <w:lvl w:ilvl="6" w:tentative="1">
      <w:start w:val="1"/>
      <w:numFmt w:val="decimal"/>
      <w:lvlText w:val="%7."/>
      <w:lvlJc w:val="left"/>
      <w:pPr>
        <w:ind w:left="3580" w:hanging="420"/>
      </w:pPr>
    </w:lvl>
    <w:lvl w:ilvl="7" w:tentative="1">
      <w:start w:val="1"/>
      <w:numFmt w:val="lowerLetter"/>
      <w:lvlText w:val="%8)"/>
      <w:lvlJc w:val="left"/>
      <w:pPr>
        <w:ind w:left="4000" w:hanging="420"/>
      </w:pPr>
    </w:lvl>
    <w:lvl w:ilvl="8" w:tentative="1">
      <w:start w:val="1"/>
      <w:numFmt w:val="lowerRoman"/>
      <w:lvlText w:val="%9."/>
      <w:lvlJc w:val="right"/>
      <w:pPr>
        <w:ind w:left="4420" w:hanging="420"/>
      </w:pPr>
    </w:lvl>
  </w:abstractNum>
  <w:num w:numId="1">
    <w:abstractNumId w:val="2084229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paragraph" w:customStyle="1" w:styleId="3">
    <w:name w:val="List Paragraph"/>
    <w:basedOn w:val="1"/>
    <w:qFormat/>
    <w:uiPriority w:val="34"/>
    <w:pPr>
      <w:ind w:firstLine="420" w:firstLineChars="200"/>
    </w:pPr>
  </w:style>
  <w:style w:type="paragraph" w:customStyle="1" w:styleId="4">
    <w:name w:val="p0"/>
    <w:basedOn w:val="1"/>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198</Words>
  <Characters>1132</Characters>
  <Lines>9</Lines>
  <Paragraphs>2</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2017-04-19T09:43:00Z</dcterms:created>
  <dc:creator>X</dc:creator>
  <cp:lastModifiedBy>XL</cp:lastModifiedBy>
  <dcterms:modified xsi:type="dcterms:W3CDTF">2017-04-21T02:48:27Z</dcterms:modified>
  <dc:title>中国共产党长治市信访局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