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方正小标宋_GBK" w:cs="Times New Roman"/>
          <w:b w:val="0"/>
          <w:bCs/>
        </w:rPr>
      </w:pPr>
      <w:r>
        <w:rPr>
          <w:rFonts w:hint="eastAsia" w:ascii="Times New Roman" w:hAnsi="Times New Roman" w:eastAsia="方正小标宋_GBK" w:cs="Times New Roman"/>
          <w:b w:val="0"/>
          <w:bCs/>
          <w:lang w:val="en-US" w:eastAsia="zh-CN"/>
        </w:rPr>
        <w:t>2020</w:t>
      </w:r>
      <w:r>
        <w:rPr>
          <w:rFonts w:ascii="Times New Roman" w:hAnsi="Times New Roman" w:eastAsia="方正小标宋_GBK" w:cs="Times New Roman"/>
          <w:b w:val="0"/>
          <w:bCs/>
        </w:rPr>
        <w:t>年政府预算公开相关说明</w:t>
      </w:r>
    </w:p>
    <w:p>
      <w:pPr>
        <w:ind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根据《财政部关于印发&lt;地方预决算公开操作规程&gt;的通知》（财预〔201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〕143号）文件精神，为方便社会公众对我市20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年政府预算的理解和监督，现将有关重要事项说明如下：</w:t>
      </w:r>
    </w:p>
    <w:p>
      <w:pPr>
        <w:numPr>
          <w:ilvl w:val="0"/>
          <w:numId w:val="1"/>
        </w:numPr>
        <w:ind w:firstLine="42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“三公”经费预算增减变化说明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经开区</w:t>
      </w:r>
      <w:r>
        <w:rPr>
          <w:rFonts w:ascii="Times New Roman" w:hAnsi="Times New Roman" w:eastAsia="仿宋_GB2312" w:cs="Times New Roman"/>
          <w:sz w:val="32"/>
          <w:szCs w:val="32"/>
        </w:rPr>
        <w:t>“三公”经费预算数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sz w:val="32"/>
          <w:szCs w:val="32"/>
        </w:rPr>
        <w:t>万元。其中公务接待费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万元；公务用车运行维护费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万元；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因为经开区2019年12月财政才正常运行所以与2019年没有可比性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ind w:firstLine="42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财政转移支付安排情况说明</w:t>
      </w:r>
    </w:p>
    <w:p>
      <w:pPr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由于经开区2017年成立，2019年12月财政才正常运行，2020年预算没有转移性支付资金。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 xml:space="preserve"> </w:t>
      </w:r>
    </w:p>
    <w:p>
      <w:pPr>
        <w:numPr>
          <w:ilvl w:val="0"/>
          <w:numId w:val="1"/>
        </w:numPr>
        <w:ind w:firstLine="42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举借债务情况说明</w:t>
      </w:r>
    </w:p>
    <w:p>
      <w:pPr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由于经开区2017年成立，2019年12月财政才正常运行，2020年预算没有债券资金。</w:t>
      </w:r>
    </w:p>
    <w:p>
      <w:pPr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lang w:val="zh-CN"/>
        </w:rPr>
        <w:t>我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lang w:val="zh-CN"/>
        </w:rPr>
        <w:t>加强政府债务管理采取的主要措施包括：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（一）制定出台《关于加强地方政府性债务管理的实施意见》，补齐制度短板。</w:t>
      </w:r>
      <w:r>
        <w:rPr>
          <w:rFonts w:ascii="Times New Roman" w:hAnsi="Times New Roman" w:eastAsia="仿宋_GB2312" w:cs="Times New Roman"/>
          <w:sz w:val="32"/>
          <w:szCs w:val="32"/>
        </w:rPr>
        <w:t>为加强和规范政府性债务管理，防范政府债务风险，促进全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经济社会持续健康发展，2017年1月份，我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根据国务院和省政府加强债务管理的精神，并结合我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实际，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学习了</w:t>
      </w:r>
      <w:r>
        <w:rPr>
          <w:rFonts w:ascii="Times New Roman" w:hAnsi="Times New Roman" w:eastAsia="仿宋_GB2312" w:cs="Times New Roman"/>
          <w:sz w:val="32"/>
          <w:szCs w:val="32"/>
        </w:rPr>
        <w:t>《长治市人民政府关于加强地方政府性债务管理的实施意见》（长政发〔2017〕9号），从规范政府举债融资机制、债务资金举借、债务资金使用、债务资金偿还、存量债务化解、债务信息统计报告、债务风险预警和应急处置、监督与管理、责任追究等九个方面，对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地方政府性债务管理进行了规范。</w:t>
      </w:r>
    </w:p>
    <w:p>
      <w:pPr>
        <w:tabs>
          <w:tab w:val="left" w:pos="4116"/>
        </w:tabs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为确保不发生区域性系统性风险，我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根据《山西省政府性债务风险应急处置预案》（晋政办发〔2017〕99号）有关要求，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并且学习了</w:t>
      </w:r>
      <w:r>
        <w:rPr>
          <w:rFonts w:ascii="Times New Roman" w:hAnsi="Times New Roman" w:eastAsia="仿宋_GB2312" w:cs="Times New Roman"/>
          <w:sz w:val="32"/>
          <w:szCs w:val="32"/>
        </w:rPr>
        <w:t>（《长治市政府性债务风险应急处置预案的通知》，长政办发〔2017〕176号），初步构建起政府性债务风险防控和应急处置机制。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（三）成立政府性债务管理领导小组，加强全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楷体_GB2312" w:cs="Times New Roman"/>
          <w:sz w:val="32"/>
          <w:szCs w:val="32"/>
        </w:rPr>
        <w:t>政府债务管理工作的领导。</w:t>
      </w:r>
      <w:r>
        <w:rPr>
          <w:rFonts w:ascii="Times New Roman" w:hAnsi="Times New Roman" w:eastAsia="仿宋_GB2312" w:cs="Times New Roman"/>
          <w:sz w:val="32"/>
          <w:szCs w:val="32"/>
        </w:rPr>
        <w:t>根据我市印发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《长治市人民政府办公厅关于成立政府性债务管理领导小组的通知》（长政办函〔2017〕43号），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我区</w:t>
      </w:r>
      <w:r>
        <w:rPr>
          <w:rFonts w:ascii="Times New Roman" w:hAnsi="Times New Roman" w:eastAsia="仿宋_GB2312" w:cs="Times New Roman"/>
          <w:sz w:val="32"/>
          <w:szCs w:val="32"/>
        </w:rPr>
        <w:t>成立了以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经开区管委会主任</w:t>
      </w:r>
      <w:r>
        <w:rPr>
          <w:rFonts w:ascii="Times New Roman" w:hAnsi="Times New Roman" w:eastAsia="仿宋_GB2312" w:cs="Times New Roman"/>
          <w:sz w:val="32"/>
          <w:szCs w:val="32"/>
        </w:rPr>
        <w:t>为组长的政府性债务管理领导小组，明确了领导小组的组成和主要职责，全面加强全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政府性债务工作的领导，从领导机制上进一步规范了政府举债融资行为。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（四）制定中长期政府债务化解方案。</w:t>
      </w:r>
      <w:r>
        <w:rPr>
          <w:rFonts w:ascii="Times New Roman" w:hAnsi="Times New Roman" w:eastAsia="仿宋_GB2312" w:cs="Times New Roman"/>
          <w:sz w:val="32"/>
          <w:szCs w:val="32"/>
        </w:rPr>
        <w:t>针对政府债务风险评估结果和出现的风险状况，我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制定了相应的政府债务化解方案，提出了明确的化解目标和化解措施。</w:t>
      </w:r>
    </w:p>
    <w:p>
      <w:pPr>
        <w:numPr>
          <w:ilvl w:val="0"/>
          <w:numId w:val="1"/>
        </w:numPr>
        <w:ind w:firstLine="42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预算绩效开展情况说明</w:t>
      </w:r>
    </w:p>
    <w:p>
      <w:pPr>
        <w:spacing w:line="600" w:lineRule="exact"/>
        <w:rPr>
          <w:rFonts w:ascii="Times New Roman" w:hAnsi="Times New Roman" w:eastAsia="仿宋_GB2312" w:cs="Times New Roman"/>
          <w:kern w:val="0"/>
          <w:sz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我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bCs/>
          <w:sz w:val="32"/>
          <w:szCs w:val="32"/>
        </w:rPr>
        <w:t>预算绩效管理工作积极贯彻党的十九大关于“</w:t>
      </w:r>
      <w:r>
        <w:rPr>
          <w:rFonts w:ascii="Times New Roman" w:hAnsi="Times New Roman" w:eastAsia="仿宋_GB2312" w:cs="Times New Roman"/>
          <w:kern w:val="0"/>
          <w:sz w:val="32"/>
        </w:rPr>
        <w:t>建立全面规范透明、标准科学、约束有力的预算制度，全面实施绩效管理</w:t>
      </w:r>
      <w:r>
        <w:rPr>
          <w:rFonts w:hint="eastAsia" w:ascii="仿宋_GB2312" w:hAnsi="仿宋" w:eastAsia="仿宋_GB2312"/>
          <w:bCs/>
          <w:sz w:val="32"/>
          <w:szCs w:val="32"/>
        </w:rPr>
        <w:t>”的精神</w:t>
      </w:r>
      <w:r>
        <w:rPr>
          <w:rFonts w:ascii="仿宋_GB2312" w:hAnsi="仿宋" w:eastAsia="仿宋_GB2312"/>
          <w:bCs/>
          <w:sz w:val="32"/>
          <w:szCs w:val="32"/>
        </w:rPr>
        <w:t>,</w:t>
      </w:r>
      <w:r>
        <w:rPr>
          <w:rFonts w:hint="eastAsia" w:ascii="仿宋_GB2312" w:hAnsi="仿宋" w:eastAsia="仿宋_GB2312"/>
          <w:bCs/>
          <w:sz w:val="32"/>
          <w:szCs w:val="32"/>
        </w:rPr>
        <w:t>按照省市经济财政工作会议要求，稳步推进我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bCs/>
          <w:sz w:val="32"/>
          <w:szCs w:val="32"/>
        </w:rPr>
        <w:t>预算绩效管理各项工作，强化结果导向，突出绩效责任约束，着力提高财政资金使用效益，</w:t>
      </w:r>
      <w:r>
        <w:rPr>
          <w:rFonts w:ascii="Times New Roman" w:hAnsi="Times New Roman" w:eastAsia="仿宋_GB2312" w:cs="Times New Roman"/>
          <w:kern w:val="0"/>
          <w:sz w:val="32"/>
        </w:rPr>
        <w:t>主要采取了以下措施：</w:t>
      </w:r>
    </w:p>
    <w:p>
      <w:pPr>
        <w:spacing w:line="600" w:lineRule="exact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 xml:space="preserve">   （一）全面实施预算项目绩效目标管理</w:t>
      </w:r>
      <w:r>
        <w:rPr>
          <w:rFonts w:ascii="仿宋_GB2312" w:hAnsi="华文中宋" w:eastAsia="仿宋_GB2312"/>
          <w:b/>
          <w:bCs/>
          <w:sz w:val="32"/>
          <w:szCs w:val="32"/>
        </w:rPr>
        <w:t>,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压实主体责任</w:t>
      </w:r>
    </w:p>
    <w:p>
      <w:pPr>
        <w:pStyle w:val="5"/>
        <w:spacing w:line="600" w:lineRule="exact"/>
        <w:ind w:firstLine="64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强化绩效目标的“指挥棒”作用，将绩效目标设置作为预算安排的前置条件。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一是实现了绩效目标管理全覆盖</w:t>
      </w:r>
      <w:r>
        <w:rPr>
          <w:rFonts w:hint="eastAsia" w:ascii="仿宋_GB2312" w:hAnsi="仿宋" w:eastAsia="仿宋_GB2312"/>
          <w:bCs/>
          <w:sz w:val="32"/>
          <w:szCs w:val="32"/>
        </w:rPr>
        <w:t>，根据“谁申请资金，谁编制目标”的原则，按照市财政局统一要求，在编制年度部门预算时，预算单位按照《预算法》和预算绩效管理相关要求对所有项目支出编制绩效目标，实现了绩效目标管理全覆盖。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二是压实预算绩效管理主体责任</w:t>
      </w:r>
      <w:r>
        <w:rPr>
          <w:rFonts w:hint="eastAsia" w:ascii="仿宋_GB2312" w:hAnsi="仿宋" w:eastAsia="仿宋_GB2312"/>
          <w:bCs/>
          <w:sz w:val="32"/>
          <w:szCs w:val="32"/>
        </w:rPr>
        <w:t>，压实各部门各单位履行预算绩效管理主体责任，加大绩效目标审核力度，提升绩效目标填报质量，使绩效目标真正成为预算安排的前提和主要依据，坚持做到“预算编制有目标”</w:t>
      </w:r>
      <w:r>
        <w:rPr>
          <w:rFonts w:ascii="仿宋_GB2312" w:hAnsi="仿宋" w:eastAsia="仿宋_GB2312"/>
          <w:bCs/>
          <w:sz w:val="32"/>
          <w:szCs w:val="32"/>
        </w:rPr>
        <w:t>,</w:t>
      </w:r>
      <w:r>
        <w:rPr>
          <w:rFonts w:hint="eastAsia" w:ascii="仿宋_GB2312" w:hAnsi="仿宋" w:eastAsia="仿宋_GB2312"/>
          <w:bCs/>
          <w:sz w:val="32"/>
          <w:szCs w:val="32"/>
        </w:rPr>
        <w:t>没有绩效目标（或不合格）不编列预算。财政部门和预算部门通过绩效目标“五审机制”，层层把关、审核，使绩效目标描述清晰、依据充分，使财政预算安排的项目更加科学合理。</w:t>
      </w:r>
    </w:p>
    <w:p>
      <w:pPr>
        <w:spacing w:line="600" w:lineRule="exact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 xml:space="preserve">   （二）强化绩效跟踪监控，促进绩效目标实现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市财政局严格落实《长治市关于加强预算绩效运行监控的实施方案》文件要求，继续本着“突出重点、及时适当、有效纠偏”的原则，有序开展绩效运行监控工作。在普遍跟踪的基础上选择部分项目进行重点跟踪监控，通过对项目的运行监控、督促整改，相关绩效目标得以较好实施，并在财政拨付项目资金时，根据整改结果调整预算，用绩效管理手段实现了财政资金的有效监控。</w:t>
      </w:r>
    </w:p>
    <w:p>
      <w:pPr>
        <w:spacing w:line="6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 xml:space="preserve">   （三）加大绩效评价力度，推动预算绩效管理扩围升级，注重评价结果应用</w:t>
      </w:r>
    </w:p>
    <w:p>
      <w:pPr>
        <w:pStyle w:val="4"/>
        <w:adjustRightInd w:val="0"/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绩效评价是预算绩效管理的重要手段。将评价结果向被评价单位和财政部门预算管理科室进行反馈，被评价单位结合评价意见、建议认真整改，财政局部门预算管理科室将评价结果作为预算编制的重要依据，根据评价结果调整预算安排。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bCs/>
          <w:sz w:val="32"/>
          <w:szCs w:val="32"/>
        </w:rPr>
        <w:t>财政局及时召开评价结果反馈会，把评价结果反馈给项目单位，督促其认真整改，并积极与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bCs/>
          <w:sz w:val="32"/>
          <w:szCs w:val="32"/>
        </w:rPr>
        <w:t>年度部门预算编制工作有机衔接，使评价结果得到有效利用。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 xml:space="preserve">   </w:t>
      </w:r>
    </w:p>
    <w:p>
      <w:pPr>
        <w:rPr>
          <w:rFonts w:ascii="Times New Roman" w:hAnsi="Times New Roman" w:cs="Times New Roma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长治经济技术开发区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财政局</w:t>
      </w:r>
    </w:p>
    <w:p>
      <w:pPr>
        <w:tabs>
          <w:tab w:val="left" w:pos="621"/>
        </w:tabs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2020年3月5日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F1D6D"/>
    <w:multiLevelType w:val="singleLevel"/>
    <w:tmpl w:val="58DF1D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C3F96"/>
    <w:rsid w:val="00117E3D"/>
    <w:rsid w:val="001C3AF7"/>
    <w:rsid w:val="00405A61"/>
    <w:rsid w:val="008831E8"/>
    <w:rsid w:val="0097585F"/>
    <w:rsid w:val="00A86112"/>
    <w:rsid w:val="00BA4335"/>
    <w:rsid w:val="00BE7907"/>
    <w:rsid w:val="00F74C95"/>
    <w:rsid w:val="00FF6A19"/>
    <w:rsid w:val="09CD1D9A"/>
    <w:rsid w:val="17D93043"/>
    <w:rsid w:val="183D143A"/>
    <w:rsid w:val="188840A1"/>
    <w:rsid w:val="18EE5B5B"/>
    <w:rsid w:val="1C4A115C"/>
    <w:rsid w:val="1F9B318C"/>
    <w:rsid w:val="21D43DDB"/>
    <w:rsid w:val="23807A8E"/>
    <w:rsid w:val="270F3FDF"/>
    <w:rsid w:val="2B4E30C6"/>
    <w:rsid w:val="2B99651C"/>
    <w:rsid w:val="2EEA0ED1"/>
    <w:rsid w:val="2F6C243B"/>
    <w:rsid w:val="30264B34"/>
    <w:rsid w:val="30936173"/>
    <w:rsid w:val="379836AD"/>
    <w:rsid w:val="3A9F6163"/>
    <w:rsid w:val="3F9D5B14"/>
    <w:rsid w:val="4065019F"/>
    <w:rsid w:val="466057C1"/>
    <w:rsid w:val="4B5551FE"/>
    <w:rsid w:val="4D570E5F"/>
    <w:rsid w:val="4DB91131"/>
    <w:rsid w:val="4E201790"/>
    <w:rsid w:val="4F880B95"/>
    <w:rsid w:val="510B718B"/>
    <w:rsid w:val="557553AC"/>
    <w:rsid w:val="56DC3F96"/>
    <w:rsid w:val="5FE36C2C"/>
    <w:rsid w:val="5FF57412"/>
    <w:rsid w:val="63DC0640"/>
    <w:rsid w:val="64FF4F0C"/>
    <w:rsid w:val="65686B47"/>
    <w:rsid w:val="66522096"/>
    <w:rsid w:val="68D641AF"/>
    <w:rsid w:val="6AD364FE"/>
    <w:rsid w:val="6B3706F8"/>
    <w:rsid w:val="6D5259E7"/>
    <w:rsid w:val="72BB07F7"/>
    <w:rsid w:val="72D7223C"/>
    <w:rsid w:val="79BD788F"/>
    <w:rsid w:val="79C55083"/>
    <w:rsid w:val="7AB0675E"/>
    <w:rsid w:val="7AD068E0"/>
    <w:rsid w:val="7D86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  <w:rPr>
      <w:rFonts w:ascii="Calibri" w:hAnsi="Calibri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598</Words>
  <Characters>3413</Characters>
  <Lines>28</Lines>
  <Paragraphs>8</Paragraphs>
  <TotalTime>178</TotalTime>
  <ScaleCrop>false</ScaleCrop>
  <LinksUpToDate>false</LinksUpToDate>
  <CharactersWithSpaces>4003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2021-05-22T11:29:00Z</dcterms:created>
  <dc:creator>null,null,预算公开</dc:creator>
  <cp:lastModifiedBy>Administrator</cp:lastModifiedBy>
  <dcterms:modified xsi:type="dcterms:W3CDTF">2021-05-25T01:03:23Z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FFCB0927481B403F8E44144B88CD01FD</vt:lpwstr>
  </property>
</Properties>
</file>