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Times New Roman" w:eastAsia="方正小标宋简体" w:cs="Times New Roman"/>
          <w:b w:val="0"/>
          <w:bCs/>
        </w:rPr>
      </w:pPr>
      <w:r>
        <w:rPr>
          <w:rFonts w:hint="eastAsia" w:ascii="方正小标宋简体" w:hAnsi="Times New Roman" w:eastAsia="方正小标宋简体" w:cs="Times New Roman"/>
          <w:b w:val="0"/>
          <w:bCs/>
        </w:rPr>
        <w:t>2020年政府预算公开相关说明</w:t>
      </w:r>
    </w:p>
    <w:p>
      <w:pPr>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根据《财政部关于印发&lt;地方预决算公开操作规程&gt;的通知》（财预〔201</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〕143号）文件精神，为方便社会公众对我市20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年政府预算的理解和监督，现将有关重要事项说明如下：</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“三公”经费预算增减变化说明</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年我市本级“三公”经费预算数</w:t>
      </w:r>
      <w:r>
        <w:rPr>
          <w:rFonts w:hint="eastAsia" w:ascii="Times New Roman" w:hAnsi="Times New Roman" w:eastAsia="仿宋_GB2312" w:cs="Times New Roman"/>
          <w:sz w:val="32"/>
          <w:szCs w:val="32"/>
        </w:rPr>
        <w:t>2940</w:t>
      </w:r>
      <w:r>
        <w:rPr>
          <w:rFonts w:ascii="Times New Roman" w:hAnsi="Times New Roman" w:eastAsia="仿宋_GB2312" w:cs="Times New Roman"/>
          <w:sz w:val="32"/>
          <w:szCs w:val="32"/>
        </w:rPr>
        <w:t>万元，比上年下降</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%。其中公务接待费</w:t>
      </w:r>
      <w:r>
        <w:rPr>
          <w:rFonts w:hint="eastAsia" w:ascii="Times New Roman" w:hAnsi="Times New Roman" w:eastAsia="仿宋_GB2312" w:cs="Times New Roman"/>
          <w:sz w:val="32"/>
          <w:szCs w:val="32"/>
        </w:rPr>
        <w:t>780</w:t>
      </w:r>
      <w:r>
        <w:rPr>
          <w:rFonts w:ascii="Times New Roman" w:hAnsi="Times New Roman" w:eastAsia="仿宋_GB2312" w:cs="Times New Roman"/>
          <w:sz w:val="32"/>
          <w:szCs w:val="32"/>
        </w:rPr>
        <w:t>万元；公务用车运行维护费2</w:t>
      </w:r>
      <w:r>
        <w:rPr>
          <w:rFonts w:hint="eastAsia" w:ascii="Times New Roman" w:hAnsi="Times New Roman" w:eastAsia="仿宋_GB2312" w:cs="Times New Roman"/>
          <w:sz w:val="32"/>
          <w:szCs w:val="32"/>
        </w:rPr>
        <w:t>008</w:t>
      </w:r>
      <w:r>
        <w:rPr>
          <w:rFonts w:ascii="Times New Roman" w:hAnsi="Times New Roman" w:eastAsia="仿宋_GB2312" w:cs="Times New Roman"/>
          <w:sz w:val="32"/>
          <w:szCs w:val="32"/>
        </w:rPr>
        <w:t>万元；公务出国出境费62万元；公务用车购置费90万元。</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财政转移支付安排情况说明</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现行财政转移支付分为一般性转移支付和专项转移支付。一般性转移支付和专项转移支付各有特点。前者可以按照相关规定统筹安排和使用，后者能够体现上级政府政策导向，便于监督检查。</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 xml:space="preserve"> 一般性转移支付主要包括均衡性转移支付、县级基本财力保障机制奖补资金、基层公检法司转移支付、城乡义务教育转移支付、基本养老金转移支付、城乡居民医疗保险转移支付、农村综合改革转移支付、产粮（油）大县奖励资金、重点生态功能区转移支付、固定数额补助等。</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lang w:val="zh-CN"/>
        </w:rPr>
        <w:t>专项转移支付主要是根据党中央、国务院和省委、省政府确定的政策，按照集中资金、突出重点、专款专用的要求，重点用于农林水、教育、医疗卫生、社会保障和就业、交通运输、节能环保等领域。</w:t>
      </w:r>
    </w:p>
    <w:p>
      <w:pPr>
        <w:ind w:firstLine="640"/>
        <w:rPr>
          <w:rFonts w:ascii="Times New Roman" w:hAnsi="Times New Roman" w:eastAsia="黑体"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年，中央和省对我市共下达转移支付资金</w:t>
      </w:r>
      <w:r>
        <w:rPr>
          <w:rFonts w:hint="eastAsia" w:ascii="Times New Roman" w:hAnsi="Times New Roman" w:eastAsia="仿宋_GB2312" w:cs="Times New Roman"/>
          <w:sz w:val="32"/>
          <w:szCs w:val="32"/>
        </w:rPr>
        <w:t>162.99</w:t>
      </w:r>
      <w:r>
        <w:rPr>
          <w:rFonts w:ascii="Times New Roman" w:hAnsi="Times New Roman" w:eastAsia="仿宋_GB2312" w:cs="Times New Roman"/>
          <w:sz w:val="32"/>
          <w:szCs w:val="32"/>
        </w:rPr>
        <w:t>亿元，增长12.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%。其中：一般性转移支付</w:t>
      </w:r>
      <w:r>
        <w:rPr>
          <w:rFonts w:hint="eastAsia" w:ascii="Times New Roman" w:hAnsi="Times New Roman" w:eastAsia="仿宋_GB2312" w:cs="Times New Roman"/>
          <w:sz w:val="32"/>
          <w:szCs w:val="32"/>
        </w:rPr>
        <w:t>128.16</w:t>
      </w:r>
      <w:r>
        <w:rPr>
          <w:rFonts w:ascii="Times New Roman" w:hAnsi="Times New Roman" w:eastAsia="仿宋_GB2312" w:cs="Times New Roman"/>
          <w:sz w:val="32"/>
          <w:szCs w:val="32"/>
        </w:rPr>
        <w:t>亿元，专项转移支付</w:t>
      </w:r>
      <w:r>
        <w:rPr>
          <w:rFonts w:hint="eastAsia" w:ascii="Times New Roman" w:hAnsi="Times New Roman" w:eastAsia="仿宋_GB2312" w:cs="Times New Roman"/>
          <w:sz w:val="32"/>
          <w:szCs w:val="32"/>
        </w:rPr>
        <w:t>34.83</w:t>
      </w:r>
      <w:r>
        <w:rPr>
          <w:rFonts w:ascii="Times New Roman" w:hAnsi="Times New Roman" w:eastAsia="仿宋_GB2312" w:cs="Times New Roman"/>
          <w:sz w:val="32"/>
          <w:szCs w:val="32"/>
        </w:rPr>
        <w:t>亿元</w:t>
      </w:r>
      <w:bookmarkStart w:id="0" w:name="OLE_LINK5"/>
      <w:r>
        <w:rPr>
          <w:rFonts w:ascii="Times New Roman" w:hAnsi="Times New Roman" w:eastAsia="仿宋_GB2312" w:cs="Times New Roman"/>
          <w:sz w:val="32"/>
          <w:szCs w:val="32"/>
          <w:lang w:val="zh-CN"/>
        </w:rPr>
        <w:t>，一般性转移支付占全部转移支付</w:t>
      </w:r>
      <w:r>
        <w:rPr>
          <w:rFonts w:ascii="Times New Roman" w:hAnsi="Times New Roman" w:eastAsia="仿宋_GB2312" w:cs="Times New Roman"/>
          <w:sz w:val="32"/>
          <w:szCs w:val="32"/>
        </w:rPr>
        <w:t>比重达到</w:t>
      </w:r>
      <w:r>
        <w:rPr>
          <w:rFonts w:hint="eastAsia" w:ascii="Times New Roman" w:hAnsi="Times New Roman" w:eastAsia="仿宋_GB2312" w:cs="Times New Roman"/>
          <w:sz w:val="32"/>
          <w:szCs w:val="32"/>
        </w:rPr>
        <w:t>78.63</w:t>
      </w:r>
      <w:r>
        <w:rPr>
          <w:rFonts w:ascii="Times New Roman" w:hAnsi="Times New Roman" w:eastAsia="仿宋_GB2312" w:cs="Times New Roman"/>
          <w:sz w:val="32"/>
          <w:szCs w:val="32"/>
        </w:rPr>
        <w:t>%。</w:t>
      </w:r>
      <w:bookmarkEnd w:id="0"/>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举借债务情况说明</w:t>
      </w:r>
    </w:p>
    <w:p>
      <w:pPr>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rPr>
        <w:t>我市</w:t>
      </w:r>
      <w:r>
        <w:rPr>
          <w:rFonts w:eastAsia="仿宋_GB2312"/>
          <w:sz w:val="32"/>
          <w:szCs w:val="32"/>
        </w:rPr>
        <w:t>认真贯彻党的十九大精神，按照党中央、国务院和省委、省政府打好防范化解重大风险攻坚战的安排部署，切实采取有效措施，坚决防范和化解政府债务风险</w:t>
      </w:r>
      <w:r>
        <w:rPr>
          <w:rFonts w:hint="eastAsia" w:eastAsia="仿宋_GB2312"/>
          <w:sz w:val="32"/>
          <w:szCs w:val="32"/>
        </w:rPr>
        <w:t>，确保实现“</w:t>
      </w:r>
      <w:r>
        <w:rPr>
          <w:rFonts w:eastAsia="仿宋_GB2312"/>
          <w:sz w:val="32"/>
          <w:szCs w:val="32"/>
        </w:rPr>
        <w:t>不发生区域性系统性风险</w:t>
      </w:r>
      <w:r>
        <w:rPr>
          <w:rFonts w:hint="eastAsia" w:eastAsia="仿宋_GB2312"/>
          <w:sz w:val="32"/>
          <w:szCs w:val="32"/>
        </w:rPr>
        <w:t>”的目标。</w:t>
      </w:r>
      <w:r>
        <w:rPr>
          <w:rFonts w:hint="eastAsia" w:eastAsia="仿宋_GB2312"/>
          <w:bCs/>
          <w:sz w:val="32"/>
        </w:rPr>
        <w:t>一是对地方政府债务严格实行</w:t>
      </w:r>
      <w:r>
        <w:rPr>
          <w:rFonts w:eastAsia="仿宋_GB2312"/>
          <w:bCs/>
          <w:sz w:val="32"/>
        </w:rPr>
        <w:t>限额管理和预算管理</w:t>
      </w:r>
      <w:r>
        <w:rPr>
          <w:rFonts w:hint="eastAsia" w:eastAsia="仿宋_GB2312"/>
          <w:bCs/>
          <w:sz w:val="32"/>
        </w:rPr>
        <w:t>，在上级下达的债务限额内依法合规使用政府债券；二是</w:t>
      </w:r>
      <w:r>
        <w:rPr>
          <w:rFonts w:hint="eastAsia" w:ascii="仿宋_GB2312" w:hAnsi="仿宋_GB2312" w:eastAsia="仿宋_GB2312" w:cs="仿宋_GB2312"/>
          <w:sz w:val="32"/>
          <w:szCs w:val="32"/>
        </w:rPr>
        <w:t>根据财力增长，合理申请新增债券规模，确保全市债务增长幅度科学合理；三是根据市县两级财力状况和债务水平，合理分配债券资金。通过以上措施进一步</w:t>
      </w:r>
      <w:r>
        <w:rPr>
          <w:rFonts w:hint="eastAsia" w:ascii="仿宋_GB2312" w:eastAsia="仿宋_GB2312"/>
          <w:sz w:val="32"/>
        </w:rPr>
        <w:t>加强政府债务风险防控，做到举债合规、程序透明、规模适度、风险可控。</w:t>
      </w:r>
    </w:p>
    <w:p>
      <w:pPr>
        <w:ind w:firstLine="640" w:firstLineChars="200"/>
        <w:rPr>
          <w:rFonts w:ascii="Times New Roman" w:hAnsi="Times New Roman" w:eastAsia="仿宋_GB2312" w:cs="Times New Roman"/>
          <w:kern w:val="0"/>
          <w:sz w:val="32"/>
        </w:rPr>
      </w:pPr>
      <w:r>
        <w:rPr>
          <w:rFonts w:hint="eastAsia" w:ascii="Times New Roman" w:hAnsi="Times New Roman" w:eastAsia="仿宋_GB2312" w:cs="Times New Roman"/>
          <w:kern w:val="0"/>
          <w:sz w:val="32"/>
        </w:rPr>
        <w:t>截止2019年底，</w:t>
      </w:r>
      <w:r>
        <w:rPr>
          <w:rFonts w:ascii="Times New Roman" w:hAnsi="Times New Roman" w:eastAsia="仿宋_GB2312" w:cs="Times New Roman"/>
          <w:kern w:val="0"/>
          <w:sz w:val="32"/>
        </w:rPr>
        <w:t>全市政府性债务</w:t>
      </w:r>
      <w:r>
        <w:rPr>
          <w:rFonts w:hint="eastAsia" w:ascii="Times New Roman" w:hAnsi="Times New Roman" w:eastAsia="仿宋_GB2312" w:cs="Times New Roman"/>
          <w:kern w:val="0"/>
          <w:sz w:val="32"/>
        </w:rPr>
        <w:t>余额198.12</w:t>
      </w:r>
      <w:r>
        <w:rPr>
          <w:rFonts w:ascii="Times New Roman" w:hAnsi="Times New Roman" w:eastAsia="仿宋_GB2312" w:cs="Times New Roman"/>
          <w:kern w:val="0"/>
          <w:sz w:val="32"/>
        </w:rPr>
        <w:t>亿元，其中：一般债务</w:t>
      </w:r>
      <w:r>
        <w:rPr>
          <w:rFonts w:hint="eastAsia" w:ascii="Times New Roman" w:hAnsi="Times New Roman" w:eastAsia="仿宋_GB2312" w:cs="Times New Roman"/>
          <w:kern w:val="0"/>
          <w:sz w:val="32"/>
        </w:rPr>
        <w:t>余额125.02</w:t>
      </w:r>
      <w:r>
        <w:rPr>
          <w:rFonts w:ascii="Times New Roman" w:hAnsi="Times New Roman" w:eastAsia="仿宋_GB2312" w:cs="Times New Roman"/>
          <w:kern w:val="0"/>
          <w:sz w:val="32"/>
        </w:rPr>
        <w:t>亿元，专项债务</w:t>
      </w:r>
      <w:r>
        <w:rPr>
          <w:rFonts w:hint="eastAsia" w:ascii="Times New Roman" w:hAnsi="Times New Roman" w:eastAsia="仿宋_GB2312" w:cs="Times New Roman"/>
          <w:kern w:val="0"/>
          <w:sz w:val="32"/>
        </w:rPr>
        <w:t>余额73.09</w:t>
      </w:r>
      <w:r>
        <w:rPr>
          <w:rFonts w:ascii="Times New Roman" w:hAnsi="Times New Roman" w:eastAsia="仿宋_GB2312" w:cs="Times New Roman"/>
          <w:kern w:val="0"/>
          <w:sz w:val="32"/>
        </w:rPr>
        <w:t>亿元。分级次看：市本级</w:t>
      </w:r>
      <w:r>
        <w:rPr>
          <w:rFonts w:hint="eastAsia" w:ascii="Times New Roman" w:hAnsi="Times New Roman" w:eastAsia="仿宋_GB2312" w:cs="Times New Roman"/>
          <w:kern w:val="0"/>
          <w:sz w:val="32"/>
        </w:rPr>
        <w:t>130.85</w:t>
      </w:r>
      <w:r>
        <w:rPr>
          <w:rFonts w:ascii="Times New Roman" w:hAnsi="Times New Roman" w:eastAsia="仿宋_GB2312" w:cs="Times New Roman"/>
          <w:kern w:val="0"/>
          <w:sz w:val="32"/>
        </w:rPr>
        <w:t>亿元，占全市政府债务</w:t>
      </w:r>
      <w:r>
        <w:rPr>
          <w:rFonts w:hint="eastAsia" w:ascii="Times New Roman" w:hAnsi="Times New Roman" w:eastAsia="仿宋_GB2312" w:cs="Times New Roman"/>
          <w:kern w:val="0"/>
          <w:sz w:val="32"/>
        </w:rPr>
        <w:t>余额</w:t>
      </w:r>
      <w:r>
        <w:rPr>
          <w:rFonts w:ascii="Times New Roman" w:hAnsi="Times New Roman" w:eastAsia="仿宋_GB2312" w:cs="Times New Roman"/>
          <w:kern w:val="0"/>
          <w:sz w:val="32"/>
        </w:rPr>
        <w:t>的66.</w:t>
      </w:r>
      <w:r>
        <w:rPr>
          <w:rFonts w:hint="eastAsia" w:ascii="Times New Roman" w:hAnsi="Times New Roman" w:eastAsia="仿宋_GB2312" w:cs="Times New Roman"/>
          <w:kern w:val="0"/>
          <w:sz w:val="32"/>
        </w:rPr>
        <w:t>05</w:t>
      </w:r>
      <w:r>
        <w:rPr>
          <w:rFonts w:ascii="Times New Roman" w:hAnsi="Times New Roman" w:eastAsia="仿宋_GB2312" w:cs="Times New Roman"/>
          <w:kern w:val="0"/>
          <w:sz w:val="32"/>
        </w:rPr>
        <w:t>%；1</w:t>
      </w:r>
      <w:r>
        <w:rPr>
          <w:rFonts w:hint="eastAsia" w:ascii="Times New Roman" w:hAnsi="Times New Roman" w:eastAsia="仿宋_GB2312" w:cs="Times New Roman"/>
          <w:kern w:val="0"/>
          <w:sz w:val="32"/>
        </w:rPr>
        <w:t>2</w:t>
      </w:r>
      <w:r>
        <w:rPr>
          <w:rFonts w:ascii="Times New Roman" w:hAnsi="Times New Roman" w:eastAsia="仿宋_GB2312" w:cs="Times New Roman"/>
          <w:kern w:val="0"/>
          <w:sz w:val="32"/>
        </w:rPr>
        <w:t>个县区</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不含高新区）政府债务</w:t>
      </w:r>
      <w:r>
        <w:rPr>
          <w:rFonts w:hint="eastAsia" w:ascii="Times New Roman" w:hAnsi="Times New Roman" w:eastAsia="仿宋_GB2312" w:cs="Times New Roman"/>
          <w:kern w:val="0"/>
          <w:sz w:val="32"/>
        </w:rPr>
        <w:t>余</w:t>
      </w:r>
      <w:r>
        <w:rPr>
          <w:rFonts w:ascii="Times New Roman" w:hAnsi="Times New Roman" w:eastAsia="仿宋_GB2312" w:cs="Times New Roman"/>
          <w:kern w:val="0"/>
          <w:sz w:val="32"/>
        </w:rPr>
        <w:t>额</w:t>
      </w:r>
      <w:r>
        <w:rPr>
          <w:rFonts w:hint="eastAsia" w:ascii="Times New Roman" w:hAnsi="Times New Roman" w:eastAsia="仿宋_GB2312" w:cs="Times New Roman"/>
          <w:kern w:val="0"/>
          <w:sz w:val="32"/>
        </w:rPr>
        <w:t>67.27</w:t>
      </w:r>
      <w:r>
        <w:rPr>
          <w:rFonts w:ascii="Times New Roman" w:hAnsi="Times New Roman" w:eastAsia="仿宋_GB2312" w:cs="Times New Roman"/>
          <w:kern w:val="0"/>
          <w:sz w:val="32"/>
        </w:rPr>
        <w:t>亿元，占全市政府债务</w:t>
      </w:r>
      <w:r>
        <w:rPr>
          <w:rFonts w:hint="eastAsia" w:ascii="Times New Roman" w:hAnsi="Times New Roman" w:eastAsia="仿宋_GB2312" w:cs="Times New Roman"/>
          <w:kern w:val="0"/>
          <w:sz w:val="32"/>
        </w:rPr>
        <w:t>余额</w:t>
      </w:r>
      <w:r>
        <w:rPr>
          <w:rFonts w:ascii="Times New Roman" w:hAnsi="Times New Roman" w:eastAsia="仿宋_GB2312" w:cs="Times New Roman"/>
          <w:kern w:val="0"/>
          <w:sz w:val="32"/>
        </w:rPr>
        <w:t>的3</w:t>
      </w:r>
      <w:r>
        <w:rPr>
          <w:rFonts w:hint="eastAsia" w:ascii="Times New Roman" w:hAnsi="Times New Roman" w:eastAsia="仿宋_GB2312" w:cs="Times New Roman"/>
          <w:kern w:val="0"/>
          <w:sz w:val="32"/>
        </w:rPr>
        <w:t>3.95</w:t>
      </w:r>
      <w:r>
        <w:rPr>
          <w:rFonts w:ascii="Times New Roman" w:hAnsi="Times New Roman" w:eastAsia="仿宋_GB2312" w:cs="Times New Roman"/>
          <w:kern w:val="0"/>
          <w:sz w:val="32"/>
        </w:rPr>
        <w:t>%。</w:t>
      </w:r>
    </w:p>
    <w:p>
      <w:pPr>
        <w:ind w:firstLine="640" w:firstLineChars="200"/>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截止2019年底，</w:t>
      </w:r>
      <w:r>
        <w:rPr>
          <w:rFonts w:ascii="Times New Roman" w:hAnsi="Times New Roman" w:eastAsia="仿宋_GB2312" w:cs="Times New Roman"/>
          <w:kern w:val="0"/>
          <w:sz w:val="32"/>
        </w:rPr>
        <w:t>全市政府性债务限额</w:t>
      </w:r>
      <w:r>
        <w:rPr>
          <w:rFonts w:hint="eastAsia" w:ascii="Times New Roman" w:hAnsi="Times New Roman" w:eastAsia="仿宋_GB2312" w:cs="Times New Roman"/>
          <w:kern w:val="0"/>
          <w:sz w:val="32"/>
        </w:rPr>
        <w:t>227.53</w:t>
      </w:r>
      <w:r>
        <w:rPr>
          <w:rFonts w:ascii="Times New Roman" w:hAnsi="Times New Roman" w:eastAsia="仿宋_GB2312" w:cs="Times New Roman"/>
          <w:kern w:val="0"/>
          <w:sz w:val="32"/>
        </w:rPr>
        <w:t>亿元，</w:t>
      </w:r>
      <w:r>
        <w:rPr>
          <w:rFonts w:hint="eastAsia" w:ascii="Times New Roman" w:hAnsi="Times New Roman" w:eastAsia="仿宋_GB2312" w:cs="Times New Roman"/>
          <w:kern w:val="0"/>
          <w:sz w:val="32"/>
        </w:rPr>
        <w:t>债务空间29.41亿元（债务空间=债务限额-债务余额）。</w:t>
      </w:r>
      <w:r>
        <w:rPr>
          <w:rFonts w:ascii="Times New Roman" w:hAnsi="Times New Roman" w:eastAsia="仿宋_GB2312" w:cs="Times New Roman"/>
          <w:kern w:val="0"/>
          <w:sz w:val="32"/>
        </w:rPr>
        <w:t>其中：一般债务</w:t>
      </w:r>
      <w:r>
        <w:rPr>
          <w:rFonts w:hint="eastAsia" w:ascii="Times New Roman" w:hAnsi="Times New Roman" w:eastAsia="仿宋_GB2312" w:cs="Times New Roman"/>
          <w:kern w:val="0"/>
          <w:sz w:val="32"/>
        </w:rPr>
        <w:t>限额141.01</w:t>
      </w:r>
      <w:r>
        <w:rPr>
          <w:rFonts w:ascii="Times New Roman" w:hAnsi="Times New Roman" w:eastAsia="仿宋_GB2312" w:cs="Times New Roman"/>
          <w:kern w:val="0"/>
          <w:sz w:val="32"/>
        </w:rPr>
        <w:t>亿元，专项债务</w:t>
      </w:r>
      <w:r>
        <w:rPr>
          <w:rFonts w:hint="eastAsia" w:ascii="Times New Roman" w:hAnsi="Times New Roman" w:eastAsia="仿宋_GB2312" w:cs="Times New Roman"/>
          <w:kern w:val="0"/>
          <w:sz w:val="32"/>
        </w:rPr>
        <w:t>限额86.53</w:t>
      </w:r>
      <w:r>
        <w:rPr>
          <w:rFonts w:ascii="Times New Roman" w:hAnsi="Times New Roman" w:eastAsia="仿宋_GB2312" w:cs="Times New Roman"/>
          <w:kern w:val="0"/>
          <w:sz w:val="32"/>
        </w:rPr>
        <w:t>亿元。分级次看：市本级</w:t>
      </w:r>
      <w:r>
        <w:rPr>
          <w:rFonts w:hint="eastAsia" w:ascii="Times New Roman" w:hAnsi="Times New Roman" w:eastAsia="仿宋_GB2312" w:cs="Times New Roman"/>
          <w:kern w:val="0"/>
          <w:sz w:val="32"/>
        </w:rPr>
        <w:t>147.63</w:t>
      </w:r>
      <w:r>
        <w:rPr>
          <w:rFonts w:ascii="Times New Roman" w:hAnsi="Times New Roman" w:eastAsia="仿宋_GB2312" w:cs="Times New Roman"/>
          <w:kern w:val="0"/>
          <w:sz w:val="32"/>
        </w:rPr>
        <w:t>亿元，占全市政府债务</w:t>
      </w:r>
      <w:r>
        <w:rPr>
          <w:rFonts w:hint="eastAsia" w:ascii="Times New Roman" w:hAnsi="Times New Roman" w:eastAsia="仿宋_GB2312" w:cs="Times New Roman"/>
          <w:kern w:val="0"/>
          <w:sz w:val="32"/>
        </w:rPr>
        <w:t>限额</w:t>
      </w:r>
      <w:r>
        <w:rPr>
          <w:rFonts w:ascii="Times New Roman" w:hAnsi="Times New Roman" w:eastAsia="仿宋_GB2312" w:cs="Times New Roman"/>
          <w:kern w:val="0"/>
          <w:sz w:val="32"/>
        </w:rPr>
        <w:t>的</w:t>
      </w:r>
      <w:r>
        <w:rPr>
          <w:rFonts w:hint="eastAsia" w:ascii="Times New Roman" w:hAnsi="Times New Roman" w:eastAsia="仿宋_GB2312" w:cs="Times New Roman"/>
          <w:kern w:val="0"/>
          <w:sz w:val="32"/>
        </w:rPr>
        <w:t>64.88</w:t>
      </w:r>
      <w:r>
        <w:rPr>
          <w:rFonts w:ascii="Times New Roman" w:hAnsi="Times New Roman" w:eastAsia="仿宋_GB2312" w:cs="Times New Roman"/>
          <w:kern w:val="0"/>
          <w:sz w:val="32"/>
        </w:rPr>
        <w:t>%；1</w:t>
      </w:r>
      <w:r>
        <w:rPr>
          <w:rFonts w:hint="eastAsia" w:ascii="Times New Roman" w:hAnsi="Times New Roman" w:eastAsia="仿宋_GB2312" w:cs="Times New Roman"/>
          <w:kern w:val="0"/>
          <w:sz w:val="32"/>
        </w:rPr>
        <w:t>2</w:t>
      </w:r>
      <w:r>
        <w:rPr>
          <w:rFonts w:ascii="Times New Roman" w:hAnsi="Times New Roman" w:eastAsia="仿宋_GB2312" w:cs="Times New Roman"/>
          <w:kern w:val="0"/>
          <w:sz w:val="32"/>
        </w:rPr>
        <w:t>个县区</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不含高新区）政府债务</w:t>
      </w:r>
      <w:r>
        <w:rPr>
          <w:rFonts w:hint="eastAsia" w:ascii="Times New Roman" w:hAnsi="Times New Roman" w:eastAsia="仿宋_GB2312" w:cs="Times New Roman"/>
          <w:kern w:val="0"/>
          <w:sz w:val="32"/>
        </w:rPr>
        <w:t>限额79.9</w:t>
      </w:r>
      <w:r>
        <w:rPr>
          <w:rFonts w:ascii="Times New Roman" w:hAnsi="Times New Roman" w:eastAsia="仿宋_GB2312" w:cs="Times New Roman"/>
          <w:kern w:val="0"/>
          <w:sz w:val="32"/>
        </w:rPr>
        <w:t>亿元，占全市政府债务</w:t>
      </w:r>
      <w:r>
        <w:rPr>
          <w:rFonts w:hint="eastAsia" w:ascii="Times New Roman" w:hAnsi="Times New Roman" w:eastAsia="仿宋_GB2312" w:cs="Times New Roman"/>
          <w:kern w:val="0"/>
          <w:sz w:val="32"/>
        </w:rPr>
        <w:t>限额</w:t>
      </w:r>
      <w:r>
        <w:rPr>
          <w:rFonts w:ascii="Times New Roman" w:hAnsi="Times New Roman" w:eastAsia="仿宋_GB2312" w:cs="Times New Roman"/>
          <w:kern w:val="0"/>
          <w:sz w:val="32"/>
        </w:rPr>
        <w:t>的</w:t>
      </w:r>
      <w:r>
        <w:rPr>
          <w:rFonts w:hint="eastAsia" w:ascii="Times New Roman" w:hAnsi="Times New Roman" w:eastAsia="仿宋_GB2312" w:cs="Times New Roman"/>
          <w:kern w:val="0"/>
          <w:sz w:val="32"/>
        </w:rPr>
        <w:t>35.12</w:t>
      </w:r>
      <w:r>
        <w:rPr>
          <w:rFonts w:ascii="Times New Roman" w:hAnsi="Times New Roman" w:eastAsia="仿宋_GB2312" w:cs="Times New Roman"/>
          <w:kern w:val="0"/>
          <w:sz w:val="32"/>
        </w:rPr>
        <w:t>%。</w:t>
      </w:r>
    </w:p>
    <w:p>
      <w:pPr>
        <w:ind w:firstLine="640" w:firstLineChars="200"/>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截止2019年底，全市地方政府债券发行额200.74亿元，其中，市本级发行131.16亿元，占全市发行总量65.34%，</w:t>
      </w:r>
      <w:r>
        <w:rPr>
          <w:rFonts w:ascii="Times New Roman" w:hAnsi="Times New Roman" w:eastAsia="仿宋_GB2312" w:cs="Times New Roman"/>
          <w:kern w:val="0"/>
          <w:sz w:val="32"/>
        </w:rPr>
        <w:t>1</w:t>
      </w:r>
      <w:r>
        <w:rPr>
          <w:rFonts w:hint="eastAsia" w:ascii="Times New Roman" w:hAnsi="Times New Roman" w:eastAsia="仿宋_GB2312" w:cs="Times New Roman"/>
          <w:kern w:val="0"/>
          <w:sz w:val="32"/>
        </w:rPr>
        <w:t>2</w:t>
      </w:r>
      <w:r>
        <w:rPr>
          <w:rFonts w:ascii="Times New Roman" w:hAnsi="Times New Roman" w:eastAsia="仿宋_GB2312" w:cs="Times New Roman"/>
          <w:kern w:val="0"/>
          <w:sz w:val="32"/>
        </w:rPr>
        <w:t>个县区</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不含高新区）</w:t>
      </w:r>
      <w:r>
        <w:rPr>
          <w:rFonts w:hint="eastAsia" w:ascii="Times New Roman" w:hAnsi="Times New Roman" w:eastAsia="仿宋_GB2312" w:cs="Times New Roman"/>
          <w:kern w:val="0"/>
          <w:sz w:val="32"/>
        </w:rPr>
        <w:t>政府债券发行69.58亿元，占全市发行总量34.66%。</w:t>
      </w:r>
    </w:p>
    <w:p>
      <w:pPr>
        <w:ind w:firstLine="640" w:firstLineChars="200"/>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2019年，全市地方政府债券还本付息总额</w:t>
      </w:r>
      <w:r>
        <w:rPr>
          <w:rFonts w:hint="eastAsia" w:ascii="Times New Roman" w:hAnsi="Times New Roman" w:eastAsia="仿宋_GB2312" w:cs="Times New Roman"/>
          <w:kern w:val="0"/>
          <w:sz w:val="32"/>
          <w:lang w:val="en-US" w:eastAsia="zh-CN"/>
        </w:rPr>
        <w:t>14.17</w:t>
      </w:r>
      <w:r>
        <w:rPr>
          <w:rFonts w:hint="eastAsia" w:ascii="Times New Roman" w:hAnsi="Times New Roman" w:eastAsia="仿宋_GB2312" w:cs="Times New Roman"/>
          <w:kern w:val="0"/>
          <w:sz w:val="32"/>
        </w:rPr>
        <w:t>亿元，其中，市本级还本付息</w:t>
      </w:r>
      <w:r>
        <w:rPr>
          <w:rFonts w:hint="eastAsia" w:ascii="Times New Roman" w:hAnsi="Times New Roman" w:eastAsia="仿宋_GB2312" w:cs="Times New Roman"/>
          <w:kern w:val="0"/>
          <w:sz w:val="32"/>
          <w:lang w:val="en-US" w:eastAsia="zh-CN"/>
        </w:rPr>
        <w:t>9.04</w:t>
      </w:r>
      <w:r>
        <w:rPr>
          <w:rFonts w:hint="eastAsia" w:ascii="Times New Roman" w:hAnsi="Times New Roman" w:eastAsia="仿宋_GB2312" w:cs="Times New Roman"/>
          <w:kern w:val="0"/>
          <w:sz w:val="32"/>
        </w:rPr>
        <w:t>亿元，占全市总额</w:t>
      </w:r>
      <w:r>
        <w:rPr>
          <w:rFonts w:hint="eastAsia" w:ascii="Times New Roman" w:hAnsi="Times New Roman" w:eastAsia="仿宋_GB2312" w:cs="Times New Roman"/>
          <w:kern w:val="0"/>
          <w:sz w:val="32"/>
          <w:lang w:val="en-US" w:eastAsia="zh-CN"/>
        </w:rPr>
        <w:t>63.8</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1</w:t>
      </w:r>
      <w:r>
        <w:rPr>
          <w:rFonts w:hint="eastAsia" w:ascii="Times New Roman" w:hAnsi="Times New Roman" w:eastAsia="仿宋_GB2312" w:cs="Times New Roman"/>
          <w:kern w:val="0"/>
          <w:sz w:val="32"/>
        </w:rPr>
        <w:t>2</w:t>
      </w:r>
      <w:r>
        <w:rPr>
          <w:rFonts w:ascii="Times New Roman" w:hAnsi="Times New Roman" w:eastAsia="仿宋_GB2312" w:cs="Times New Roman"/>
          <w:kern w:val="0"/>
          <w:sz w:val="32"/>
        </w:rPr>
        <w:t>个县区</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不含高新区）</w:t>
      </w:r>
      <w:r>
        <w:rPr>
          <w:rFonts w:hint="eastAsia" w:ascii="Times New Roman" w:hAnsi="Times New Roman" w:eastAsia="仿宋_GB2312" w:cs="Times New Roman"/>
          <w:kern w:val="0"/>
          <w:sz w:val="32"/>
        </w:rPr>
        <w:t>还本付息</w:t>
      </w:r>
      <w:r>
        <w:rPr>
          <w:rFonts w:hint="eastAsia" w:ascii="Times New Roman" w:hAnsi="Times New Roman" w:eastAsia="仿宋_GB2312" w:cs="Times New Roman"/>
          <w:kern w:val="0"/>
          <w:sz w:val="32"/>
          <w:lang w:val="en-US" w:eastAsia="zh-CN"/>
        </w:rPr>
        <w:t>5.13</w:t>
      </w:r>
      <w:r>
        <w:rPr>
          <w:rFonts w:hint="eastAsia" w:ascii="Times New Roman" w:hAnsi="Times New Roman" w:eastAsia="仿宋_GB2312" w:cs="Times New Roman"/>
          <w:kern w:val="0"/>
          <w:sz w:val="32"/>
        </w:rPr>
        <w:t>亿元，占全市总额</w:t>
      </w:r>
      <w:r>
        <w:rPr>
          <w:rFonts w:hint="eastAsia" w:ascii="Times New Roman" w:hAnsi="Times New Roman" w:eastAsia="仿宋_GB2312" w:cs="Times New Roman"/>
          <w:kern w:val="0"/>
          <w:sz w:val="32"/>
          <w:lang w:val="en-US" w:eastAsia="zh-CN"/>
        </w:rPr>
        <w:t>36.2</w:t>
      </w:r>
      <w:r>
        <w:rPr>
          <w:rFonts w:hint="eastAsia" w:ascii="Times New Roman" w:hAnsi="Times New Roman" w:eastAsia="仿宋_GB2312" w:cs="Times New Roman"/>
          <w:kern w:val="0"/>
          <w:sz w:val="32"/>
        </w:rPr>
        <w:t>%。</w:t>
      </w:r>
    </w:p>
    <w:p>
      <w:pPr>
        <w:ind w:firstLine="640" w:firstLineChars="200"/>
        <w:rPr>
          <w:rFonts w:hint="eastAsia" w:ascii="Times New Roman" w:hAnsi="Times New Roman" w:eastAsia="仿宋_GB2312" w:cs="Times New Roman"/>
          <w:kern w:val="0"/>
          <w:sz w:val="32"/>
        </w:rPr>
      </w:pPr>
      <w:r>
        <w:rPr>
          <w:rFonts w:hint="eastAsia" w:ascii="Times New Roman" w:hAnsi="Times New Roman" w:eastAsia="仿宋_GB2312" w:cs="Times New Roman"/>
          <w:kern w:val="0"/>
          <w:sz w:val="32"/>
        </w:rPr>
        <w:t>2020年，全市地方</w:t>
      </w:r>
      <w:bookmarkStart w:id="1" w:name="_GoBack"/>
      <w:bookmarkEnd w:id="1"/>
      <w:r>
        <w:rPr>
          <w:rFonts w:hint="eastAsia" w:ascii="Times New Roman" w:hAnsi="Times New Roman" w:eastAsia="仿宋_GB2312" w:cs="Times New Roman"/>
          <w:kern w:val="0"/>
          <w:sz w:val="32"/>
        </w:rPr>
        <w:t>政府债券还本付息预算安排25.</w:t>
      </w:r>
      <w:r>
        <w:rPr>
          <w:rFonts w:hint="eastAsia" w:ascii="Times New Roman" w:hAnsi="Times New Roman" w:eastAsia="仿宋_GB2312" w:cs="Times New Roman"/>
          <w:kern w:val="0"/>
          <w:sz w:val="32"/>
          <w:lang w:val="en-US" w:eastAsia="zh-CN"/>
        </w:rPr>
        <w:t>26</w:t>
      </w:r>
      <w:r>
        <w:rPr>
          <w:rFonts w:hint="eastAsia" w:ascii="Times New Roman" w:hAnsi="Times New Roman" w:eastAsia="仿宋_GB2312" w:cs="Times New Roman"/>
          <w:kern w:val="0"/>
          <w:sz w:val="32"/>
        </w:rPr>
        <w:t>亿元，</w:t>
      </w:r>
      <w:r>
        <w:rPr>
          <w:rFonts w:hint="eastAsia" w:ascii="Times New Roman" w:hAnsi="Times New Roman" w:eastAsia="仿宋_GB2312" w:cs="Times New Roman"/>
          <w:kern w:val="0"/>
          <w:sz w:val="32"/>
          <w:lang w:val="en-US" w:eastAsia="zh-CN"/>
        </w:rPr>
        <w:t>其中：</w:t>
      </w:r>
      <w:r>
        <w:rPr>
          <w:rFonts w:hint="eastAsia" w:ascii="Times New Roman" w:hAnsi="Times New Roman" w:eastAsia="仿宋_GB2312" w:cs="Times New Roman"/>
          <w:kern w:val="0"/>
          <w:sz w:val="32"/>
        </w:rPr>
        <w:t>申请再融资债券偿还16.94亿元，财力偿还</w:t>
      </w:r>
      <w:r>
        <w:rPr>
          <w:rFonts w:hint="eastAsia" w:ascii="Times New Roman" w:hAnsi="Times New Roman" w:eastAsia="仿宋_GB2312" w:cs="Times New Roman"/>
          <w:kern w:val="0"/>
          <w:sz w:val="32"/>
          <w:lang w:val="en-US" w:eastAsia="zh-CN"/>
        </w:rPr>
        <w:t>8.32</w:t>
      </w:r>
      <w:r>
        <w:rPr>
          <w:rFonts w:hint="eastAsia" w:ascii="Times New Roman" w:hAnsi="Times New Roman" w:eastAsia="仿宋_GB2312" w:cs="Times New Roman"/>
          <w:kern w:val="0"/>
          <w:sz w:val="32"/>
        </w:rPr>
        <w:t>亿元。</w:t>
      </w:r>
      <w:r>
        <w:rPr>
          <w:rFonts w:hint="eastAsia" w:ascii="Times New Roman" w:hAnsi="Times New Roman" w:eastAsia="仿宋_GB2312" w:cs="Times New Roman"/>
          <w:kern w:val="0"/>
          <w:sz w:val="32"/>
          <w:lang w:val="en-US" w:eastAsia="zh-CN"/>
        </w:rPr>
        <w:t>分级次看：</w:t>
      </w:r>
      <w:r>
        <w:rPr>
          <w:rFonts w:hint="eastAsia" w:ascii="Times New Roman" w:hAnsi="Times New Roman" w:eastAsia="仿宋_GB2312" w:cs="Times New Roman"/>
          <w:kern w:val="0"/>
          <w:sz w:val="32"/>
        </w:rPr>
        <w:t>市本级还本付息</w:t>
      </w:r>
      <w:r>
        <w:rPr>
          <w:rFonts w:hint="eastAsia" w:ascii="Times New Roman" w:hAnsi="Times New Roman" w:eastAsia="仿宋_GB2312" w:cs="Times New Roman"/>
          <w:kern w:val="0"/>
          <w:sz w:val="32"/>
          <w:lang w:val="en-US" w:eastAsia="zh-CN"/>
        </w:rPr>
        <w:t>16.15</w:t>
      </w:r>
      <w:r>
        <w:rPr>
          <w:rFonts w:hint="eastAsia" w:ascii="Times New Roman" w:hAnsi="Times New Roman" w:eastAsia="仿宋_GB2312" w:cs="Times New Roman"/>
          <w:kern w:val="0"/>
          <w:sz w:val="32"/>
        </w:rPr>
        <w:t>亿元，占全市总额</w:t>
      </w:r>
      <w:r>
        <w:rPr>
          <w:rFonts w:hint="eastAsia" w:ascii="Times New Roman" w:hAnsi="Times New Roman" w:eastAsia="仿宋_GB2312" w:cs="Times New Roman"/>
          <w:kern w:val="0"/>
          <w:sz w:val="32"/>
          <w:lang w:val="en-US" w:eastAsia="zh-CN"/>
        </w:rPr>
        <w:t>63.94</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1</w:t>
      </w:r>
      <w:r>
        <w:rPr>
          <w:rFonts w:hint="eastAsia" w:ascii="Times New Roman" w:hAnsi="Times New Roman" w:eastAsia="仿宋_GB2312" w:cs="Times New Roman"/>
          <w:kern w:val="0"/>
          <w:sz w:val="32"/>
        </w:rPr>
        <w:t>2</w:t>
      </w:r>
      <w:r>
        <w:rPr>
          <w:rFonts w:ascii="Times New Roman" w:hAnsi="Times New Roman" w:eastAsia="仿宋_GB2312" w:cs="Times New Roman"/>
          <w:kern w:val="0"/>
          <w:sz w:val="32"/>
        </w:rPr>
        <w:t>个县区</w:t>
      </w:r>
      <w:r>
        <w:rPr>
          <w:rFonts w:hint="eastAsia" w:ascii="Times New Roman" w:hAnsi="Times New Roman" w:eastAsia="仿宋_GB2312" w:cs="Times New Roman"/>
          <w:kern w:val="0"/>
          <w:sz w:val="32"/>
        </w:rPr>
        <w:t>(</w:t>
      </w:r>
      <w:r>
        <w:rPr>
          <w:rFonts w:ascii="Times New Roman" w:hAnsi="Times New Roman" w:eastAsia="仿宋_GB2312" w:cs="Times New Roman"/>
          <w:kern w:val="0"/>
          <w:sz w:val="32"/>
        </w:rPr>
        <w:t>不含高新区）</w:t>
      </w:r>
      <w:r>
        <w:rPr>
          <w:rFonts w:hint="eastAsia" w:ascii="Times New Roman" w:hAnsi="Times New Roman" w:eastAsia="仿宋_GB2312" w:cs="Times New Roman"/>
          <w:kern w:val="0"/>
          <w:sz w:val="32"/>
        </w:rPr>
        <w:t>还本付息</w:t>
      </w:r>
      <w:r>
        <w:rPr>
          <w:rFonts w:hint="eastAsia" w:ascii="Times New Roman" w:hAnsi="Times New Roman" w:eastAsia="仿宋_GB2312" w:cs="Times New Roman"/>
          <w:kern w:val="0"/>
          <w:sz w:val="32"/>
          <w:lang w:val="en-US" w:eastAsia="zh-CN"/>
        </w:rPr>
        <w:t>9.11</w:t>
      </w:r>
      <w:r>
        <w:rPr>
          <w:rFonts w:hint="eastAsia" w:ascii="Times New Roman" w:hAnsi="Times New Roman" w:eastAsia="仿宋_GB2312" w:cs="Times New Roman"/>
          <w:kern w:val="0"/>
          <w:sz w:val="32"/>
        </w:rPr>
        <w:t>亿元</w:t>
      </w:r>
      <w:r>
        <w:rPr>
          <w:rFonts w:hint="eastAsia" w:ascii="Times New Roman" w:hAnsi="Times New Roman" w:eastAsia="仿宋_GB2312" w:cs="Times New Roman"/>
          <w:kern w:val="0"/>
          <w:sz w:val="32"/>
          <w:lang w:eastAsia="zh-CN"/>
        </w:rPr>
        <w:t>，</w:t>
      </w:r>
      <w:r>
        <w:rPr>
          <w:rFonts w:hint="eastAsia" w:ascii="Times New Roman" w:hAnsi="Times New Roman" w:eastAsia="仿宋_GB2312" w:cs="Times New Roman"/>
          <w:kern w:val="0"/>
          <w:sz w:val="32"/>
        </w:rPr>
        <w:t>占全市总额</w:t>
      </w:r>
      <w:r>
        <w:rPr>
          <w:rFonts w:hint="eastAsia" w:ascii="Times New Roman" w:hAnsi="Times New Roman" w:eastAsia="仿宋_GB2312" w:cs="Times New Roman"/>
          <w:kern w:val="0"/>
          <w:sz w:val="32"/>
          <w:lang w:val="en-US" w:eastAsia="zh-CN"/>
        </w:rPr>
        <w:t>36.06</w:t>
      </w:r>
      <w:r>
        <w:rPr>
          <w:rFonts w:hint="eastAsia" w:ascii="Times New Roman" w:hAnsi="Times New Roman" w:eastAsia="仿宋_GB2312" w:cs="Times New Roman"/>
          <w:kern w:val="0"/>
          <w:sz w:val="32"/>
        </w:rPr>
        <w:t>%</w:t>
      </w:r>
      <w:r>
        <w:rPr>
          <w:rFonts w:hint="eastAsia" w:ascii="Times New Roman" w:hAnsi="Times New Roman" w:eastAsia="仿宋_GB2312" w:cs="Times New Roman"/>
          <w:kern w:val="0"/>
          <w:sz w:val="32"/>
          <w:lang w:eastAsia="zh-CN"/>
        </w:rPr>
        <w:t>。</w:t>
      </w:r>
    </w:p>
    <w:p>
      <w:pPr>
        <w:ind w:firstLine="640" w:firstLineChars="200"/>
        <w:rPr>
          <w:rFonts w:ascii="Times New Roman" w:hAnsi="Times New Roman" w:eastAsia="仿宋_GB2312" w:cs="Times New Roman"/>
          <w:sz w:val="32"/>
        </w:rPr>
      </w:pPr>
      <w:r>
        <w:rPr>
          <w:rFonts w:ascii="Times New Roman" w:hAnsi="Times New Roman" w:eastAsia="仿宋_GB2312" w:cs="Times New Roman"/>
          <w:sz w:val="32"/>
          <w:lang w:val="zh-CN"/>
        </w:rPr>
        <w:t>我市加强政府债务管理采取的主要措施包括：</w:t>
      </w:r>
    </w:p>
    <w:p>
      <w:pPr>
        <w:ind w:firstLine="645"/>
        <w:rPr>
          <w:rFonts w:ascii="Times New Roman" w:hAnsi="Times New Roman" w:eastAsia="仿宋_GB2312" w:cs="Times New Roman"/>
          <w:sz w:val="32"/>
          <w:szCs w:val="32"/>
        </w:rPr>
      </w:pPr>
      <w:r>
        <w:rPr>
          <w:rFonts w:ascii="Times New Roman" w:hAnsi="Times New Roman" w:eastAsia="楷体_GB2312" w:cs="Times New Roman"/>
          <w:sz w:val="32"/>
          <w:szCs w:val="32"/>
        </w:rPr>
        <w:t>（一）制定出台《关于加强地方政府性债务管理的实施意见》，补齐制度短板。</w:t>
      </w:r>
      <w:r>
        <w:rPr>
          <w:rFonts w:ascii="Times New Roman" w:hAnsi="Times New Roman" w:eastAsia="仿宋_GB2312" w:cs="Times New Roman"/>
          <w:sz w:val="32"/>
          <w:szCs w:val="32"/>
        </w:rPr>
        <w:t>为加强和规范政府性债务管理，防范政府债务风险，促进全市经济社会持续健康发展，我市根据国务院和省政府加强债务管理的精神，并结合我市实际，制定并印发了《长治市人民政府关于加强地方政府性债务管理的实施意见》（长政发〔2017〕9号），从规范政府举债融资机制、债务资金举借、债务资金使用、债务资金偿还、存量债务化解、债务信息统计报告、债务风险预警和应急处置、监督与管理、责任追究等九个方面，对我市地方政府性债务管理进行了规范。</w:t>
      </w:r>
    </w:p>
    <w:p>
      <w:pPr>
        <w:tabs>
          <w:tab w:val="left" w:pos="4116"/>
        </w:tabs>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w:t>
      </w:r>
      <w:r>
        <w:rPr>
          <w:rFonts w:hint="eastAsia" w:ascii="Times New Roman" w:hAnsi="Times New Roman" w:eastAsia="楷体_GB2312" w:cs="Times New Roman"/>
          <w:sz w:val="32"/>
          <w:szCs w:val="32"/>
        </w:rPr>
        <w:t>严格落实</w:t>
      </w:r>
      <w:r>
        <w:rPr>
          <w:rFonts w:ascii="Times New Roman" w:hAnsi="Times New Roman" w:eastAsia="楷体_GB2312" w:cs="Times New Roman"/>
          <w:sz w:val="32"/>
          <w:szCs w:val="32"/>
        </w:rPr>
        <w:t>《政府性债务风险应急处置预案》，防范和化解财政金融风险。</w:t>
      </w:r>
      <w:r>
        <w:rPr>
          <w:rFonts w:ascii="Times New Roman" w:hAnsi="Times New Roman" w:eastAsia="仿宋_GB2312" w:cs="Times New Roman"/>
          <w:sz w:val="32"/>
          <w:szCs w:val="32"/>
        </w:rPr>
        <w:t>为确保不发生区域性系统性风险，我市根据《山西省政府性债务风险应急处置预案》（晋政办发〔2017〕99号）有关要求，结合实际制定了我市政府性债务风险应急处置预案，并印发全市执行《长治市政府性债务风险应急处置预案的通知》（长政办发〔2017〕176号），初步构建起了市、县两级政府性债务风险防控和应急处置机制。</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w:t>
      </w:r>
      <w:r>
        <w:rPr>
          <w:rFonts w:hint="eastAsia" w:ascii="Times New Roman" w:hAnsi="Times New Roman" w:eastAsia="楷体_GB2312" w:cs="Times New Roman"/>
          <w:sz w:val="32"/>
          <w:szCs w:val="32"/>
        </w:rPr>
        <w:t>在</w:t>
      </w:r>
      <w:r>
        <w:rPr>
          <w:rFonts w:ascii="Times New Roman" w:hAnsi="Times New Roman" w:eastAsia="楷体_GB2312" w:cs="Times New Roman"/>
          <w:sz w:val="32"/>
          <w:szCs w:val="32"/>
        </w:rPr>
        <w:t>市政府</w:t>
      </w:r>
      <w:r>
        <w:rPr>
          <w:rFonts w:hint="eastAsia" w:ascii="Times New Roman" w:hAnsi="Times New Roman" w:eastAsia="楷体_GB2312" w:cs="Times New Roman"/>
          <w:sz w:val="32"/>
          <w:szCs w:val="32"/>
        </w:rPr>
        <w:t>性</w:t>
      </w:r>
      <w:r>
        <w:rPr>
          <w:rFonts w:ascii="Times New Roman" w:hAnsi="Times New Roman" w:eastAsia="楷体_GB2312" w:cs="Times New Roman"/>
          <w:sz w:val="32"/>
          <w:szCs w:val="32"/>
        </w:rPr>
        <w:t>债务管理</w:t>
      </w:r>
      <w:r>
        <w:rPr>
          <w:rFonts w:hint="eastAsia" w:ascii="Times New Roman" w:hAnsi="Times New Roman" w:eastAsia="楷体_GB2312" w:cs="Times New Roman"/>
          <w:sz w:val="32"/>
          <w:szCs w:val="32"/>
        </w:rPr>
        <w:t>领导小组的指导下，加强政府性债务管理</w:t>
      </w:r>
      <w:r>
        <w:rPr>
          <w:rFonts w:ascii="Times New Roman" w:hAnsi="Times New Roman" w:eastAsia="楷体_GB2312" w:cs="Times New Roman"/>
          <w:sz w:val="32"/>
          <w:szCs w:val="32"/>
        </w:rPr>
        <w:t>。</w:t>
      </w:r>
      <w:r>
        <w:rPr>
          <w:rFonts w:ascii="Times New Roman" w:hAnsi="Times New Roman" w:eastAsia="仿宋_GB2312" w:cs="Times New Roman"/>
          <w:sz w:val="32"/>
          <w:szCs w:val="32"/>
        </w:rPr>
        <w:t>根据财政部等六部委《关于进一步规范地方政府举债融资行为的通知》（财预〔2017〕50号）要求，我市印发了《长治市人民政府办公厅关于成立政府性债务管理领导小组的通知》（长政办函〔2017〕43号），成立了以市长为组长的政府性债务管理领导小组，明确了领导小组的组成和主要职责</w:t>
      </w:r>
      <w:r>
        <w:rPr>
          <w:rFonts w:hint="eastAsia" w:ascii="Times New Roman" w:hAnsi="Times New Roman" w:eastAsia="仿宋_GB2312" w:cs="Times New Roman"/>
          <w:sz w:val="32"/>
          <w:szCs w:val="32"/>
        </w:rPr>
        <w:t>。在市政府性债务管理领导小组的领导下，</w:t>
      </w:r>
      <w:r>
        <w:rPr>
          <w:rFonts w:ascii="Times New Roman" w:hAnsi="Times New Roman" w:eastAsia="仿宋_GB2312" w:cs="Times New Roman"/>
          <w:sz w:val="32"/>
          <w:szCs w:val="32"/>
        </w:rPr>
        <w:t>全面加强全市政府性债务工作的领导，进一步规范政府举债融资行为。</w:t>
      </w:r>
    </w:p>
    <w:p>
      <w:pPr>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w:t>
      </w:r>
      <w:r>
        <w:rPr>
          <w:rFonts w:hint="eastAsia" w:ascii="Times New Roman" w:hAnsi="Times New Roman" w:eastAsia="楷体_GB2312" w:cs="Times New Roman"/>
          <w:sz w:val="32"/>
          <w:szCs w:val="32"/>
        </w:rPr>
        <w:t>稳妥有序化解</w:t>
      </w:r>
      <w:r>
        <w:rPr>
          <w:rFonts w:ascii="Times New Roman" w:hAnsi="Times New Roman" w:eastAsia="楷体_GB2312" w:cs="Times New Roman"/>
          <w:sz w:val="32"/>
          <w:szCs w:val="32"/>
        </w:rPr>
        <w:t>政府债务</w:t>
      </w:r>
      <w:r>
        <w:rPr>
          <w:rFonts w:hint="eastAsia" w:ascii="Times New Roman" w:hAnsi="Times New Roman" w:eastAsia="楷体_GB2312" w:cs="Times New Roman"/>
          <w:sz w:val="32"/>
          <w:szCs w:val="32"/>
        </w:rPr>
        <w:t>，圆满完成考核任务</w:t>
      </w:r>
      <w:r>
        <w:rPr>
          <w:rFonts w:ascii="Times New Roman" w:hAnsi="Times New Roman" w:eastAsia="楷体_GB2312" w:cs="Times New Roman"/>
          <w:sz w:val="32"/>
          <w:szCs w:val="32"/>
        </w:rPr>
        <w:t>。</w:t>
      </w:r>
      <w:r>
        <w:rPr>
          <w:rFonts w:ascii="Times New Roman" w:hAnsi="Times New Roman" w:eastAsia="仿宋_GB2312" w:cs="Times New Roman"/>
          <w:sz w:val="32"/>
          <w:szCs w:val="32"/>
        </w:rPr>
        <w:t>针对政府债务风险评估结果和出现的风险状况，</w:t>
      </w:r>
      <w:r>
        <w:rPr>
          <w:rFonts w:hint="eastAsia" w:ascii="仿宋_GB2312" w:eastAsia="仿宋_GB2312"/>
          <w:sz w:val="32"/>
          <w:szCs w:val="32"/>
        </w:rPr>
        <w:t>我</w:t>
      </w:r>
      <w:r>
        <w:rPr>
          <w:rFonts w:hint="eastAsia" w:eastAsia="仿宋_GB2312"/>
          <w:sz w:val="32"/>
          <w:szCs w:val="32"/>
        </w:rPr>
        <w:t>市按照政府债务化解方案提出的化解目标和化解措施，</w:t>
      </w:r>
      <w:r>
        <w:rPr>
          <w:rFonts w:hint="eastAsia" w:ascii="仿宋_GB2312" w:hAnsi="仿宋_GB2312" w:eastAsia="仿宋_GB2312" w:cs="仿宋_GB2312"/>
          <w:sz w:val="32"/>
          <w:szCs w:val="32"/>
        </w:rPr>
        <w:t>将政府债务化解方案落到实处，2019年全市总体化债任务已超额完成，政府债务管理各项指标均达到考核目标要求，</w:t>
      </w:r>
      <w:r>
        <w:rPr>
          <w:rFonts w:ascii="Times New Roman" w:hAnsi="Times New Roman" w:eastAsia="仿宋_GB2312" w:cs="Times New Roman"/>
          <w:sz w:val="32"/>
          <w:szCs w:val="32"/>
        </w:rPr>
        <w:t>并及时报送至省政府性债务管理领导小组办公室。</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预算绩效开展情况说明</w:t>
      </w:r>
    </w:p>
    <w:p>
      <w:pPr>
        <w:spacing w:line="600" w:lineRule="exact"/>
        <w:ind w:firstLine="640" w:firstLineChars="200"/>
        <w:rPr>
          <w:rFonts w:ascii="Times New Roman" w:hAnsi="Times New Roman" w:eastAsia="仿宋_GB2312" w:cs="Times New Roman"/>
          <w:kern w:val="0"/>
          <w:sz w:val="32"/>
        </w:rPr>
      </w:pPr>
      <w:r>
        <w:rPr>
          <w:rFonts w:hint="eastAsia" w:ascii="仿宋_GB2312" w:hAnsi="仿宋_GB2312" w:eastAsia="仿宋_GB2312" w:cs="仿宋_GB2312"/>
          <w:sz w:val="32"/>
          <w:szCs w:val="32"/>
        </w:rPr>
        <w:t>我市预算绩效管理工作认真贯彻党的十九大“建立全面规范透明、标准科学、约束有力的预算制度，全面实施绩效管理”精神，积极落实《中共中央、国务院关于全面实施预算绩效管理的意见》和《中共山西省委、山西省人民政府关于全面实施预算绩效管理的实施意见》，紧紧围绕全市中心工作，以建立全方位、全过程、全覆盖的预算绩效管理体系为目标，强化结果导向和绩效意识，着力提高财政资源配置效率和使用效益，多措并举硬化绩效责任约束,着力提高财政资源配置效率和使用效益</w:t>
      </w:r>
      <w:r>
        <w:rPr>
          <w:rFonts w:hint="eastAsia" w:ascii="仿宋_GB2312" w:hAnsi="仿宋" w:eastAsia="仿宋_GB2312"/>
          <w:bCs/>
          <w:sz w:val="32"/>
          <w:szCs w:val="32"/>
        </w:rPr>
        <w:t>。</w:t>
      </w:r>
      <w:r>
        <w:rPr>
          <w:rFonts w:ascii="Times New Roman" w:hAnsi="Times New Roman" w:eastAsia="仿宋_GB2312" w:cs="Times New Roman"/>
          <w:kern w:val="0"/>
          <w:sz w:val="32"/>
        </w:rPr>
        <w:t>主要采取了以下措施：</w:t>
      </w:r>
    </w:p>
    <w:p>
      <w:pPr>
        <w:spacing w:line="600" w:lineRule="exact"/>
        <w:ind w:firstLine="472" w:firstLineChars="147"/>
        <w:rPr>
          <w:rStyle w:val="13"/>
          <w:rFonts w:ascii="楷体" w:hAnsi="楷体" w:eastAsia="楷体" w:cs="Arial"/>
          <w:color w:val="000000"/>
          <w:sz w:val="32"/>
          <w:szCs w:val="32"/>
        </w:rPr>
      </w:pPr>
      <w:r>
        <w:rPr>
          <w:rStyle w:val="13"/>
          <w:rFonts w:hint="eastAsia" w:ascii="楷体" w:hAnsi="楷体" w:eastAsia="楷体" w:cs="Arial"/>
          <w:color w:val="000000"/>
          <w:sz w:val="32"/>
          <w:szCs w:val="32"/>
        </w:rPr>
        <w:t>（一）完善规章制度，构建全面绩效管理体系</w:t>
      </w:r>
    </w:p>
    <w:p>
      <w:pPr>
        <w:spacing w:line="600" w:lineRule="exact"/>
        <w:ind w:firstLine="624" w:firstLineChars="195"/>
        <w:rPr>
          <w:rStyle w:val="13"/>
          <w:rFonts w:ascii="楷体" w:hAnsi="楷体" w:eastAsia="楷体" w:cs="Arial"/>
          <w:color w:val="000000"/>
          <w:sz w:val="32"/>
          <w:szCs w:val="32"/>
        </w:rPr>
      </w:pPr>
      <w:r>
        <w:rPr>
          <w:rFonts w:hint="eastAsia" w:ascii="仿宋_GB2312" w:eastAsia="仿宋_GB2312" w:cs="仿宋_GB2312"/>
          <w:sz w:val="32"/>
          <w:szCs w:val="32"/>
          <w:shd w:val="clear" w:color="auto" w:fill="FFFFFF"/>
        </w:rPr>
        <w:t>认真贯彻落实《中共中央、国务院关于全面实施预算绩效管理的意见》和《中共山西省委、山西省人民政府关于全面实施预算绩效管理的意见》精神，</w:t>
      </w:r>
      <w:r>
        <w:rPr>
          <w:rFonts w:hint="eastAsia" w:ascii="仿宋_GB2312" w:hAnsi="仿宋_GB2312" w:eastAsia="仿宋_GB2312" w:cs="仿宋_GB2312"/>
          <w:sz w:val="32"/>
          <w:szCs w:val="32"/>
        </w:rPr>
        <w:t>结合我市实际工作情况，制定出台了</w:t>
      </w:r>
      <w:r>
        <w:rPr>
          <w:rFonts w:hint="eastAsia" w:ascii="仿宋_GB2312" w:hAnsi="仿宋" w:eastAsia="仿宋_GB2312"/>
          <w:sz w:val="32"/>
          <w:szCs w:val="32"/>
        </w:rPr>
        <w:t>《长治市全面实施预算绩效管理的工作方案》</w:t>
      </w:r>
      <w:r>
        <w:rPr>
          <w:rFonts w:hint="eastAsia" w:ascii="仿宋_GB2312" w:eastAsia="仿宋_GB2312"/>
          <w:sz w:val="32"/>
          <w:szCs w:val="32"/>
        </w:rPr>
        <w:t>（长发</w:t>
      </w:r>
      <w:r>
        <w:rPr>
          <w:rFonts w:ascii="仿宋_GB2312" w:eastAsia="仿宋_GB2312"/>
          <w:sz w:val="32"/>
          <w:szCs w:val="32"/>
        </w:rPr>
        <w:t>〔20</w:t>
      </w:r>
      <w:r>
        <w:rPr>
          <w:rFonts w:hint="eastAsia" w:ascii="仿宋_GB2312" w:eastAsia="仿宋_GB2312"/>
          <w:sz w:val="32"/>
          <w:szCs w:val="32"/>
        </w:rPr>
        <w:t>19</w:t>
      </w:r>
      <w:r>
        <w:rPr>
          <w:rFonts w:ascii="仿宋_GB2312" w:eastAsia="仿宋_GB2312"/>
          <w:sz w:val="32"/>
          <w:szCs w:val="32"/>
        </w:rPr>
        <w:t>〕</w:t>
      </w:r>
      <w:r>
        <w:rPr>
          <w:rFonts w:hint="eastAsia" w:ascii="仿宋_GB2312" w:eastAsia="仿宋_GB2312"/>
          <w:sz w:val="32"/>
          <w:szCs w:val="32"/>
        </w:rPr>
        <w:t>12</w:t>
      </w:r>
      <w:r>
        <w:rPr>
          <w:rFonts w:ascii="仿宋_GB2312" w:eastAsia="仿宋_GB2312"/>
          <w:sz w:val="32"/>
          <w:szCs w:val="32"/>
        </w:rPr>
        <w:t>号</w:t>
      </w:r>
      <w:r>
        <w:rPr>
          <w:rFonts w:hint="eastAsia" w:ascii="仿宋_GB2312" w:eastAsia="仿宋_GB2312"/>
          <w:sz w:val="32"/>
          <w:szCs w:val="32"/>
        </w:rPr>
        <w:t>），</w:t>
      </w:r>
      <w:r>
        <w:rPr>
          <w:rFonts w:hint="eastAsia" w:ascii="仿宋_GB2312" w:eastAsia="仿宋_GB2312"/>
          <w:kern w:val="0"/>
          <w:sz w:val="32"/>
          <w:szCs w:val="32"/>
        </w:rPr>
        <w:t>提出我市全面实施预算绩效管理的</w:t>
      </w:r>
      <w:r>
        <w:rPr>
          <w:rFonts w:hint="eastAsia" w:ascii="仿宋_GB2312" w:hAnsi="仿宋_GB2312" w:eastAsia="仿宋_GB2312" w:cs="仿宋_GB2312"/>
          <w:sz w:val="32"/>
          <w:szCs w:val="32"/>
        </w:rPr>
        <w:t>指导思想、总体目标、基本原则、工作任务和保障措施，</w:t>
      </w:r>
      <w:r>
        <w:rPr>
          <w:rFonts w:hint="eastAsia" w:ascii="仿宋_GB2312" w:eastAsia="仿宋_GB2312"/>
          <w:kern w:val="0"/>
          <w:sz w:val="32"/>
          <w:szCs w:val="32"/>
        </w:rPr>
        <w:t>为下一步全面推进我市预算绩效管理工作，</w:t>
      </w:r>
      <w:r>
        <w:rPr>
          <w:rFonts w:hint="eastAsia" w:ascii="仿宋_GB2312" w:eastAsia="仿宋_GB2312" w:cs="仿宋_GB2312"/>
          <w:sz w:val="32"/>
          <w:szCs w:val="32"/>
          <w:shd w:val="clear" w:color="auto" w:fill="FFFFFF"/>
        </w:rPr>
        <w:t>建成全方位、全过程、全覆盖的预算绩效管理体系，指明了方向，</w:t>
      </w:r>
      <w:r>
        <w:rPr>
          <w:rFonts w:hint="eastAsia" w:ascii="仿宋_GB2312" w:hAnsi="仿宋_GB2312" w:eastAsia="仿宋_GB2312" w:cs="仿宋_GB2312"/>
          <w:sz w:val="32"/>
          <w:szCs w:val="32"/>
        </w:rPr>
        <w:t>明确了主要内容及组织管理、工作职责</w:t>
      </w:r>
      <w:r>
        <w:rPr>
          <w:rFonts w:hint="eastAsia" w:ascii="仿宋_GB2312" w:eastAsia="仿宋_GB2312"/>
          <w:kern w:val="0"/>
          <w:sz w:val="32"/>
          <w:szCs w:val="32"/>
        </w:rPr>
        <w:t>。</w:t>
      </w:r>
    </w:p>
    <w:p>
      <w:pPr>
        <w:spacing w:line="600" w:lineRule="exact"/>
        <w:ind w:firstLine="472" w:firstLineChars="147"/>
        <w:rPr>
          <w:rFonts w:ascii="楷体" w:hAnsi="楷体" w:eastAsia="楷体" w:cs="Arial"/>
          <w:bCs/>
          <w:color w:val="000000"/>
          <w:sz w:val="32"/>
          <w:szCs w:val="32"/>
        </w:rPr>
      </w:pPr>
      <w:r>
        <w:rPr>
          <w:rStyle w:val="13"/>
          <w:rFonts w:hint="eastAsia" w:ascii="楷体" w:hAnsi="楷体" w:eastAsia="楷体" w:cs="Arial"/>
          <w:color w:val="000000"/>
          <w:sz w:val="32"/>
          <w:szCs w:val="32"/>
        </w:rPr>
        <w:t>（二）</w:t>
      </w:r>
      <w:r>
        <w:rPr>
          <w:rFonts w:hint="eastAsia" w:ascii="楷体" w:hAnsi="楷体" w:eastAsia="楷体" w:cs="Arial"/>
          <w:b/>
          <w:sz w:val="32"/>
          <w:szCs w:val="32"/>
        </w:rPr>
        <w:t>加强目标管理，夯实绩效管理基础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根据“谁申请资金，谁编报目标”的原则，按照市财政局统一要求，在编制年度部门预算时，预算单位按照《预算法》和预算绩效管理相关要求对项目支出编报绩效目标，实现项目支出绩效目标管理全覆盖。</w:t>
      </w:r>
      <w:r>
        <w:rPr>
          <w:rFonts w:hint="eastAsia" w:ascii="仿宋_GB2312" w:hAnsi="仿宋" w:eastAsia="仿宋_GB2312"/>
          <w:bCs/>
          <w:sz w:val="32"/>
          <w:szCs w:val="32"/>
        </w:rPr>
        <w:t>压实各部门各单位履行预算绩效管理主体责任，加大绩效目标审核力度，提升绩效目标填报质量，使绩效目标真正成为预算安排的前提和主要依据，坚持做到“预算编制有目标”</w:t>
      </w:r>
      <w:r>
        <w:rPr>
          <w:rFonts w:ascii="仿宋_GB2312" w:hAnsi="仿宋" w:eastAsia="仿宋_GB2312"/>
          <w:bCs/>
          <w:sz w:val="32"/>
          <w:szCs w:val="32"/>
        </w:rPr>
        <w:t>,</w:t>
      </w:r>
      <w:r>
        <w:rPr>
          <w:rFonts w:hint="eastAsia" w:ascii="仿宋_GB2312" w:hAnsi="仿宋" w:eastAsia="仿宋_GB2312"/>
          <w:bCs/>
          <w:sz w:val="32"/>
          <w:szCs w:val="32"/>
        </w:rPr>
        <w:t>没有绩效目标（或不合格）不编列预算。财政部门和预算部门通过绩效目标“五审机制”，层层把关、审核，使绩效目标描述清晰、依据充分，使财政预算安排的项目更加科学合理。</w:t>
      </w:r>
    </w:p>
    <w:p>
      <w:pPr>
        <w:spacing w:line="600" w:lineRule="exact"/>
        <w:ind w:firstLine="643" w:firstLineChars="200"/>
        <w:rPr>
          <w:rFonts w:ascii="仿宋_GB2312" w:hAnsi="华文中宋" w:eastAsia="仿宋_GB2312"/>
          <w:b/>
          <w:bCs/>
          <w:sz w:val="32"/>
          <w:szCs w:val="32"/>
        </w:rPr>
      </w:pPr>
      <w:r>
        <w:rPr>
          <w:rStyle w:val="13"/>
          <w:rFonts w:hint="eastAsia" w:ascii="楷体" w:hAnsi="楷体" w:eastAsia="楷体" w:cs="Arial"/>
          <w:color w:val="000000"/>
          <w:sz w:val="32"/>
          <w:szCs w:val="32"/>
        </w:rPr>
        <w:t>（三）</w:t>
      </w:r>
      <w:r>
        <w:rPr>
          <w:rFonts w:hint="eastAsia" w:ascii="仿宋_GB2312" w:hAnsi="华文中宋" w:eastAsia="仿宋_GB2312"/>
          <w:b/>
          <w:bCs/>
          <w:sz w:val="32"/>
          <w:szCs w:val="32"/>
        </w:rPr>
        <w:t>强化绩效跟踪监控，促进绩效目标实现</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市财政局严格落实《长治市关于加强预算绩效运行监控的实施方案》文件要求，继续本着“突出重点、及时适当、有效纠偏”的原则，有序开展绩效运行监控工作。对绩效运行有可能偏离目标的项目，提出了监控预警或询问，督促预算单位按照设定的绩效目标加快实施，促进了绩效目标的顺利实现。</w:t>
      </w:r>
    </w:p>
    <w:p>
      <w:pPr>
        <w:spacing w:line="600" w:lineRule="exact"/>
        <w:ind w:firstLine="643" w:firstLineChars="200"/>
        <w:rPr>
          <w:rFonts w:ascii="楷体" w:hAnsi="楷体" w:eastAsia="楷体" w:cs="Arial"/>
          <w:b/>
          <w:color w:val="000000"/>
          <w:sz w:val="32"/>
          <w:szCs w:val="32"/>
        </w:rPr>
      </w:pPr>
      <w:r>
        <w:rPr>
          <w:rFonts w:hint="eastAsia" w:ascii="楷体" w:hAnsi="楷体" w:eastAsia="楷体" w:cs="Arial"/>
          <w:b/>
          <w:color w:val="000000"/>
          <w:sz w:val="32"/>
          <w:szCs w:val="32"/>
        </w:rPr>
        <w:t>（四）推进重点项目绩效评价，提高绩效管理质量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在预算部门（单位）自评价基础上，财政部门选取2018年度事关国计民生60个100万元以上</w:t>
      </w:r>
      <w:r>
        <w:rPr>
          <w:rFonts w:hint="eastAsia" w:ascii="仿宋_GB2312" w:hAnsi="仿宋_GB2312" w:eastAsia="仿宋_GB2312" w:cs="仿宋_GB2312"/>
          <w:sz w:val="32"/>
        </w:rPr>
        <w:t>的关系民生公益事业的重点项目支出实施重点绩效评价，涉及</w:t>
      </w:r>
      <w:r>
        <w:rPr>
          <w:rFonts w:hint="eastAsia" w:ascii="仿宋_GB2312" w:hAnsi="仿宋_GB2312" w:eastAsia="仿宋_GB2312" w:cs="仿宋_GB2312"/>
          <w:color w:val="000000"/>
          <w:sz w:val="32"/>
          <w:szCs w:val="32"/>
        </w:rPr>
        <w:t>项目资金总额12.72亿元，占2018年度财政项目支出总额39%</w:t>
      </w:r>
      <w:r>
        <w:rPr>
          <w:rFonts w:hint="eastAsia" w:ascii="仿宋_GB2312" w:hAnsi="仿宋_GB2312" w:eastAsia="仿宋_GB2312" w:cs="仿宋_GB2312"/>
          <w:sz w:val="32"/>
          <w:szCs w:val="32"/>
        </w:rPr>
        <w:t>。加大对评价工作的监督力度，继续采用评价报告评分与评价费用挂钩的方式，奖优罚劣，促进第三方中介强化责任意识，提升评价工作水平，为财政编制下一年度部门预算提供了重要依据，为政府决策提供了科学参考。</w:t>
      </w:r>
    </w:p>
    <w:p>
      <w:pPr>
        <w:pStyle w:val="10"/>
        <w:ind w:left="958" w:leftChars="304" w:hanging="320" w:hangingChars="100"/>
      </w:pPr>
      <w:r>
        <w:rPr>
          <w:rFonts w:hint="eastAsia" w:ascii="仿宋_GB2312" w:hAnsi="仿宋_GB2312" w:eastAsia="仿宋_GB2312" w:cs="仿宋_GB2312"/>
          <w:color w:val="000000"/>
          <w:sz w:val="32"/>
          <w:szCs w:val="32"/>
        </w:rPr>
        <w:t>2018年度财政项目支出重点绩效评价结果见下表：</w:t>
      </w:r>
      <w:r>
        <w:rPr>
          <w:rFonts w:hint="eastAsia" w:ascii="宋体" w:hAnsi="宋体" w:eastAsia="宋体" w:cs="宋体"/>
          <w:b/>
          <w:color w:val="000000"/>
          <w:kern w:val="0"/>
          <w:sz w:val="28"/>
          <w:szCs w:val="28"/>
        </w:rPr>
        <w:t>长治市本级2018年度财政支出项目重点绩效评价结果</w:t>
      </w:r>
    </w:p>
    <w:tbl>
      <w:tblPr>
        <w:tblStyle w:val="11"/>
        <w:tblW w:w="8336" w:type="dxa"/>
        <w:tblInd w:w="0" w:type="dxa"/>
        <w:tblLayout w:type="fixed"/>
        <w:tblCellMar>
          <w:top w:w="0" w:type="dxa"/>
          <w:left w:w="0" w:type="dxa"/>
          <w:bottom w:w="0" w:type="dxa"/>
          <w:right w:w="0" w:type="dxa"/>
        </w:tblCellMar>
      </w:tblPr>
      <w:tblGrid>
        <w:gridCol w:w="342"/>
        <w:gridCol w:w="2188"/>
        <w:gridCol w:w="1325"/>
        <w:gridCol w:w="1178"/>
        <w:gridCol w:w="1313"/>
        <w:gridCol w:w="1323"/>
        <w:gridCol w:w="667"/>
      </w:tblGrid>
      <w:tr>
        <w:tblPrEx>
          <w:tblLayout w:type="fixed"/>
          <w:tblCellMar>
            <w:top w:w="0" w:type="dxa"/>
            <w:left w:w="0" w:type="dxa"/>
            <w:bottom w:w="0" w:type="dxa"/>
            <w:right w:w="0" w:type="dxa"/>
          </w:tblCellMar>
        </w:tblPrEx>
        <w:trPr>
          <w:trHeight w:val="697" w:hRule="atLeast"/>
          <w:tblHeader/>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项目名称</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承办单位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项目类型</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财政当年预算安排额</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评价机构</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  得分</w:t>
            </w:r>
          </w:p>
        </w:tc>
      </w:tr>
      <w:tr>
        <w:tblPrEx>
          <w:tblLayout w:type="fixed"/>
          <w:tblCellMar>
            <w:top w:w="0" w:type="dxa"/>
            <w:left w:w="0" w:type="dxa"/>
            <w:bottom w:w="0" w:type="dxa"/>
            <w:right w:w="0" w:type="dxa"/>
          </w:tblCellMar>
        </w:tblPrEx>
        <w:trPr>
          <w:trHeight w:val="5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大院零星维修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山西晋才会计师事务所有限公司</w:t>
            </w:r>
          </w:p>
        </w:tc>
        <w:tc>
          <w:tcPr>
            <w:tcW w:w="66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92.5</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重大动物疫病疫苗市级配套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长治市动物疫病预防控制中心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138.00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山西中汇资产评估有限公司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92.5</w:t>
            </w:r>
          </w:p>
        </w:tc>
      </w:tr>
      <w:tr>
        <w:tblPrEx>
          <w:tblLayout w:type="fixed"/>
          <w:tblCellMar>
            <w:top w:w="0" w:type="dxa"/>
            <w:left w:w="0" w:type="dxa"/>
            <w:bottom w:w="0" w:type="dxa"/>
            <w:right w:w="0" w:type="dxa"/>
          </w:tblCellMar>
        </w:tblPrEx>
        <w:trPr>
          <w:trHeight w:val="5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绿色有机旱作农业封闭示范区建设项目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长治市农业农村局及各县区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880.00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山西屯留恒信审计事务所有限公司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89.26</w:t>
            </w:r>
          </w:p>
        </w:tc>
      </w:tr>
      <w:tr>
        <w:tblPrEx>
          <w:tblLayout w:type="fixed"/>
          <w:tblCellMar>
            <w:top w:w="0" w:type="dxa"/>
            <w:left w:w="0" w:type="dxa"/>
            <w:bottom w:w="0" w:type="dxa"/>
            <w:right w:w="0" w:type="dxa"/>
          </w:tblCellMar>
        </w:tblPrEx>
        <w:trPr>
          <w:trHeight w:val="6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教师培训经费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长治市教育局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长治市佳信资产评估财务咨询有限公司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89</w:t>
            </w:r>
          </w:p>
        </w:tc>
      </w:tr>
      <w:tr>
        <w:tblPrEx>
          <w:tblLayout w:type="fixed"/>
          <w:tblCellMar>
            <w:top w:w="0" w:type="dxa"/>
            <w:left w:w="0" w:type="dxa"/>
            <w:bottom w:w="0" w:type="dxa"/>
            <w:right w:w="0" w:type="dxa"/>
          </w:tblCellMar>
        </w:tblPrEx>
        <w:trPr>
          <w:trHeight w:val="5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w:t>
            </w:r>
          </w:p>
        </w:tc>
        <w:tc>
          <w:tcPr>
            <w:tcW w:w="21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党纪教育基地经费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中共长治市纪律检查委员会</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88.6</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主城区以及长北污水处理厂污水处理政府购买服务费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8807.33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88.48</w:t>
            </w:r>
          </w:p>
        </w:tc>
      </w:tr>
      <w:tr>
        <w:tblPrEx>
          <w:tblLayout w:type="fixed"/>
          <w:tblCellMar>
            <w:top w:w="0" w:type="dxa"/>
            <w:left w:w="0" w:type="dxa"/>
            <w:bottom w:w="0" w:type="dxa"/>
            <w:right w:w="0" w:type="dxa"/>
          </w:tblCellMar>
        </w:tblPrEx>
        <w:trPr>
          <w:trHeight w:val="6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新型职业农民培育市级配套</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长治市农业农村局及各县区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250.00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山西屯留恒信审计事务所有限公司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88.3</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基层医疗卫生机构信息管理系统政府购买运营服务费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市卫健委</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357.00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山西奥杰资产评估有限公司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87</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人才开发专项经费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长治市委组织部人才办</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山西九恒工程项目管理有限公司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86.6</w:t>
            </w:r>
          </w:p>
        </w:tc>
      </w:tr>
      <w:tr>
        <w:tblPrEx>
          <w:tblLayout w:type="fixed"/>
          <w:tblCellMar>
            <w:top w:w="0" w:type="dxa"/>
            <w:left w:w="0" w:type="dxa"/>
            <w:bottom w:w="0" w:type="dxa"/>
            <w:right w:w="0" w:type="dxa"/>
          </w:tblCellMar>
        </w:tblPrEx>
        <w:trPr>
          <w:trHeight w:val="7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“互联网+政务服务”平台建设</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长治市政务大厅管理中心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1070.71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山西九恒工程项目管理有限公司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86.25 </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首届农民丰收节及第二届农合发展博览周</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长治市农村合作经济经营管理局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山西中汇资产评估有限公司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86</w:t>
            </w:r>
          </w:p>
        </w:tc>
      </w:tr>
      <w:tr>
        <w:tblPrEx>
          <w:tblLayout w:type="fixed"/>
          <w:tblCellMar>
            <w:top w:w="0" w:type="dxa"/>
            <w:left w:w="0" w:type="dxa"/>
            <w:bottom w:w="0" w:type="dxa"/>
            <w:right w:w="0" w:type="dxa"/>
          </w:tblCellMar>
        </w:tblPrEx>
        <w:trPr>
          <w:trHeight w:val="6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一、二中多功能教学建设</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市一、二中</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长治市佳信资产评估财务咨询有限公司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86</w:t>
            </w:r>
          </w:p>
        </w:tc>
      </w:tr>
      <w:tr>
        <w:tblPrEx>
          <w:tblLayout w:type="fixed"/>
          <w:tblCellMar>
            <w:top w:w="0" w:type="dxa"/>
            <w:left w:w="0" w:type="dxa"/>
            <w:bottom w:w="0" w:type="dxa"/>
            <w:right w:w="0" w:type="dxa"/>
          </w:tblCellMar>
        </w:tblPrEx>
        <w:trPr>
          <w:trHeight w:val="9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U16女子足球场外练习场改造、内场正式比赛场地改造费用</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长治市体育局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900.00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长治中瑞会计师事务所有限公司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85.68</w:t>
            </w:r>
          </w:p>
        </w:tc>
      </w:tr>
      <w:tr>
        <w:tblPrEx>
          <w:tblLayout w:type="fixed"/>
          <w:tblCellMar>
            <w:top w:w="0" w:type="dxa"/>
            <w:left w:w="0" w:type="dxa"/>
            <w:bottom w:w="0" w:type="dxa"/>
            <w:right w:w="0" w:type="dxa"/>
          </w:tblCellMar>
        </w:tblPrEx>
        <w:trPr>
          <w:trHeight w:val="6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滨河幼儿园旧园翻修改造及购置设施设备资金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长治市滨河幼儿园</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499.28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长治市佳信资产评估财务咨询有限公司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85.55</w:t>
            </w:r>
          </w:p>
        </w:tc>
      </w:tr>
      <w:tr>
        <w:tblPrEx>
          <w:tblLayout w:type="fixed"/>
          <w:tblCellMar>
            <w:top w:w="0" w:type="dxa"/>
            <w:left w:w="0" w:type="dxa"/>
            <w:bottom w:w="0" w:type="dxa"/>
            <w:right w:w="0" w:type="dxa"/>
          </w:tblCellMar>
        </w:tblPrEx>
        <w:trPr>
          <w:trHeight w:val="7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市委市政府机关大院强弱电线路改造</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454.40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山西晋才会计师事务所有限公司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85.2</w:t>
            </w:r>
          </w:p>
        </w:tc>
      </w:tr>
      <w:tr>
        <w:tblPrEx>
          <w:tblLayout w:type="fixed"/>
          <w:tblCellMar>
            <w:top w:w="0" w:type="dxa"/>
            <w:left w:w="0" w:type="dxa"/>
            <w:bottom w:w="0" w:type="dxa"/>
            <w:right w:w="0" w:type="dxa"/>
          </w:tblCellMar>
        </w:tblPrEx>
        <w:trPr>
          <w:trHeight w:val="8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提前下达2018年公共文化服务体系建设专项资金（一般项目补助）</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长治市文化局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692.17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山西勤信会计师事务所有限公司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85</w:t>
            </w:r>
          </w:p>
        </w:tc>
      </w:tr>
      <w:tr>
        <w:tblPrEx>
          <w:tblLayout w:type="fixed"/>
          <w:tblCellMar>
            <w:top w:w="0" w:type="dxa"/>
            <w:left w:w="0" w:type="dxa"/>
            <w:bottom w:w="0" w:type="dxa"/>
            <w:right w:w="0" w:type="dxa"/>
          </w:tblCellMar>
        </w:tblPrEx>
        <w:trPr>
          <w:trHeight w:val="5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湿地公园及周边片区、北寨片区、高铁片区规划费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市规划局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山西万佳立信资产评估有限公司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84.96 </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城际交通运营补贴</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市交通局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1500.00 </w:t>
            </w:r>
          </w:p>
        </w:tc>
        <w:tc>
          <w:tcPr>
            <w:tcW w:w="132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长治市诚信资产评估有限公司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84.14</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畜禽粪污无害化处理市级配套资金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长治市畜牧兽医局，各县区</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山西中汇资产评估有限公司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82.5</w:t>
            </w:r>
          </w:p>
        </w:tc>
      </w:tr>
      <w:tr>
        <w:tblPrEx>
          <w:tblLayout w:type="fixed"/>
          <w:tblCellMar>
            <w:top w:w="0" w:type="dxa"/>
            <w:left w:w="0" w:type="dxa"/>
            <w:bottom w:w="0" w:type="dxa"/>
            <w:right w:w="0" w:type="dxa"/>
          </w:tblCellMar>
        </w:tblPrEx>
        <w:trPr>
          <w:trHeight w:val="8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公车平台人员及车辆运行费用</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400.00 </w:t>
            </w:r>
          </w:p>
        </w:tc>
        <w:tc>
          <w:tcPr>
            <w:tcW w:w="13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山西晋才会计师事务所有限公司</w:t>
            </w:r>
          </w:p>
        </w:tc>
        <w:tc>
          <w:tcPr>
            <w:tcW w:w="66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81.9</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总规及长丰地块等16项规划费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市规划局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 </w:t>
            </w:r>
          </w:p>
        </w:tc>
        <w:tc>
          <w:tcPr>
            <w:tcW w:w="132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山西万佳立信资产评估有限公司</w:t>
            </w:r>
          </w:p>
        </w:tc>
        <w:tc>
          <w:tcPr>
            <w:tcW w:w="66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81.6</w:t>
            </w:r>
          </w:p>
        </w:tc>
      </w:tr>
      <w:tr>
        <w:tblPrEx>
          <w:tblLayout w:type="fixed"/>
          <w:tblCellMar>
            <w:top w:w="0" w:type="dxa"/>
            <w:left w:w="0" w:type="dxa"/>
            <w:bottom w:w="0" w:type="dxa"/>
            <w:right w:w="0" w:type="dxa"/>
          </w:tblCellMar>
        </w:tblPrEx>
        <w:trPr>
          <w:trHeight w:val="8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太行干部学院运营费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太行干部学院</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2137.00 </w:t>
            </w:r>
          </w:p>
        </w:tc>
        <w:tc>
          <w:tcPr>
            <w:tcW w:w="13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长治宏信审计事务所有限公司</w:t>
            </w:r>
          </w:p>
        </w:tc>
        <w:tc>
          <w:tcPr>
            <w:tcW w:w="66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81.5</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三河一渠经济带片区城市设计规划费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市规划局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山西万佳立信资产评估有限公司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81.02 </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★海关检验检疫项目建设经费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长治市商务局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80.97</w:t>
            </w:r>
          </w:p>
        </w:tc>
      </w:tr>
      <w:tr>
        <w:tblPrEx>
          <w:tblLayout w:type="fixed"/>
          <w:tblCellMar>
            <w:top w:w="0" w:type="dxa"/>
            <w:left w:w="0" w:type="dxa"/>
            <w:bottom w:w="0" w:type="dxa"/>
            <w:right w:w="0" w:type="dxa"/>
          </w:tblCellMar>
        </w:tblPrEx>
        <w:trPr>
          <w:trHeight w:val="9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市直五院团2018年创排经费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长治市上党梆子剧团、市上党落子剧团、市豫剧团、市歌舞剧团、市杂技团、市文化艺术学校</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山西勤信会计师事务所有限公司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80.50 </w:t>
            </w:r>
          </w:p>
        </w:tc>
      </w:tr>
      <w:tr>
        <w:tblPrEx>
          <w:tblLayout w:type="fixed"/>
          <w:tblCellMar>
            <w:top w:w="0" w:type="dxa"/>
            <w:left w:w="0" w:type="dxa"/>
            <w:bottom w:w="0" w:type="dxa"/>
            <w:right w:w="0" w:type="dxa"/>
          </w:tblCellMar>
        </w:tblPrEx>
        <w:trPr>
          <w:trHeight w:val="8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法律援助业务经费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长治市司法局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27.00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山西国元会计师事务所</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80.49</w:t>
            </w:r>
          </w:p>
        </w:tc>
      </w:tr>
      <w:tr>
        <w:tblPrEx>
          <w:tblLayout w:type="fixed"/>
          <w:tblCellMar>
            <w:top w:w="0" w:type="dxa"/>
            <w:left w:w="0" w:type="dxa"/>
            <w:bottom w:w="0" w:type="dxa"/>
            <w:right w:w="0" w:type="dxa"/>
          </w:tblCellMar>
        </w:tblPrEx>
        <w:trPr>
          <w:trHeight w:val="5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长治市档案局改扩建工程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山西晋才会计师事务所有限公司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80.1</w:t>
            </w:r>
          </w:p>
        </w:tc>
      </w:tr>
      <w:tr>
        <w:tblPrEx>
          <w:tblLayout w:type="fixed"/>
          <w:tblCellMar>
            <w:top w:w="0" w:type="dxa"/>
            <w:left w:w="0" w:type="dxa"/>
            <w:bottom w:w="0" w:type="dxa"/>
            <w:right w:w="0" w:type="dxa"/>
          </w:tblCellMar>
        </w:tblPrEx>
        <w:trPr>
          <w:trHeight w:val="5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★机场航站楼改扩建工程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民航山西分公司</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79.65</w:t>
            </w:r>
          </w:p>
        </w:tc>
      </w:tr>
      <w:tr>
        <w:tblPrEx>
          <w:tblLayout w:type="fixed"/>
          <w:tblCellMar>
            <w:top w:w="0" w:type="dxa"/>
            <w:left w:w="0" w:type="dxa"/>
            <w:bottom w:w="0" w:type="dxa"/>
            <w:right w:w="0" w:type="dxa"/>
          </w:tblCellMar>
        </w:tblPrEx>
        <w:trPr>
          <w:trHeight w:val="7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政府大院生活垃圾转运中心建设项目经费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169.72 </w:t>
            </w:r>
          </w:p>
        </w:tc>
        <w:tc>
          <w:tcPr>
            <w:tcW w:w="13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79.5</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2017年“四好农村公路”建设补助资金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市交通局</w:t>
            </w:r>
          </w:p>
        </w:tc>
        <w:tc>
          <w:tcPr>
            <w:tcW w:w="117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8613.00 </w:t>
            </w:r>
          </w:p>
        </w:tc>
        <w:tc>
          <w:tcPr>
            <w:tcW w:w="1323"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长治市诚信资产评估有限公司</w:t>
            </w:r>
          </w:p>
        </w:tc>
        <w:tc>
          <w:tcPr>
            <w:tcW w:w="66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78.65</w:t>
            </w:r>
          </w:p>
        </w:tc>
      </w:tr>
      <w:tr>
        <w:tblPrEx>
          <w:tblLayout w:type="fixed"/>
          <w:tblCellMar>
            <w:top w:w="0" w:type="dxa"/>
            <w:left w:w="0" w:type="dxa"/>
            <w:bottom w:w="0" w:type="dxa"/>
            <w:right w:w="0" w:type="dxa"/>
          </w:tblCellMar>
        </w:tblPrEx>
        <w:trPr>
          <w:trHeight w:val="5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★教育信息化建设资金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长治市教育局</w:t>
            </w:r>
          </w:p>
        </w:tc>
        <w:tc>
          <w:tcPr>
            <w:tcW w:w="117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1430.00 </w:t>
            </w:r>
          </w:p>
        </w:tc>
        <w:tc>
          <w:tcPr>
            <w:tcW w:w="1323"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山西伍纬绩效管理咨询有限公司</w:t>
            </w:r>
          </w:p>
        </w:tc>
        <w:tc>
          <w:tcPr>
            <w:tcW w:w="66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78.57</w:t>
            </w:r>
          </w:p>
        </w:tc>
      </w:tr>
      <w:tr>
        <w:tblPrEx>
          <w:tblLayout w:type="fixed"/>
          <w:tblCellMar>
            <w:top w:w="0" w:type="dxa"/>
            <w:left w:w="0" w:type="dxa"/>
            <w:bottom w:w="0" w:type="dxa"/>
            <w:right w:w="0" w:type="dxa"/>
          </w:tblCellMar>
        </w:tblPrEx>
        <w:trPr>
          <w:trHeight w:val="5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公共自行车运营费用</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市公交公司</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150.00 </w:t>
            </w:r>
          </w:p>
        </w:tc>
        <w:tc>
          <w:tcPr>
            <w:tcW w:w="132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长治市诚信资产评估有限公司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78.4</w:t>
            </w:r>
          </w:p>
        </w:tc>
      </w:tr>
      <w:tr>
        <w:tblPrEx>
          <w:tblLayout w:type="fixed"/>
          <w:tblCellMar>
            <w:top w:w="0" w:type="dxa"/>
            <w:left w:w="0" w:type="dxa"/>
            <w:bottom w:w="0" w:type="dxa"/>
            <w:right w:w="0" w:type="dxa"/>
          </w:tblCellMar>
        </w:tblPrEx>
        <w:trPr>
          <w:trHeight w:val="5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体校新建搬迁建设项目资金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长治市体育局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77.96</w:t>
            </w:r>
          </w:p>
        </w:tc>
      </w:tr>
      <w:tr>
        <w:tblPrEx>
          <w:tblLayout w:type="fixed"/>
          <w:tblCellMar>
            <w:top w:w="0" w:type="dxa"/>
            <w:left w:w="0" w:type="dxa"/>
            <w:bottom w:w="0" w:type="dxa"/>
            <w:right w:w="0" w:type="dxa"/>
          </w:tblCellMar>
        </w:tblPrEx>
        <w:trPr>
          <w:trHeight w:val="9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中科潞安半导体产业技术研究院研究经费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长治市科学技术局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山西勤信会计师事务所有限公司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77.54 </w:t>
            </w:r>
          </w:p>
        </w:tc>
      </w:tr>
      <w:tr>
        <w:tblPrEx>
          <w:tblLayout w:type="fixed"/>
          <w:tblCellMar>
            <w:top w:w="0" w:type="dxa"/>
            <w:left w:w="0" w:type="dxa"/>
            <w:bottom w:w="0" w:type="dxa"/>
            <w:right w:w="0" w:type="dxa"/>
          </w:tblCellMar>
        </w:tblPrEx>
        <w:trPr>
          <w:trHeight w:val="7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2018年政法转移支付资金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长治市公安局城区分局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484.00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长治宏信审计事务所有限公司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77.5</w:t>
            </w:r>
          </w:p>
        </w:tc>
      </w:tr>
      <w:tr>
        <w:tblPrEx>
          <w:tblLayout w:type="fixed"/>
          <w:tblCellMar>
            <w:top w:w="0" w:type="dxa"/>
            <w:left w:w="0" w:type="dxa"/>
            <w:bottom w:w="0" w:type="dxa"/>
            <w:right w:w="0" w:type="dxa"/>
          </w:tblCellMar>
        </w:tblPrEx>
        <w:trPr>
          <w:trHeight w:val="9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湿地保护性开放配套设施及生态改造项目资金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市湿地公园管理处</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山西永义会计师事务所有限公司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77.07</w:t>
            </w:r>
          </w:p>
        </w:tc>
      </w:tr>
      <w:tr>
        <w:tblPrEx>
          <w:tblLayout w:type="fixed"/>
          <w:tblCellMar>
            <w:top w:w="0" w:type="dxa"/>
            <w:left w:w="0" w:type="dxa"/>
            <w:bottom w:w="0" w:type="dxa"/>
            <w:right w:w="0" w:type="dxa"/>
          </w:tblCellMar>
        </w:tblPrEx>
        <w:trPr>
          <w:trHeight w:val="12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长治市政务信息共享整合平台建设项目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长治市人民政府信息中心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1162.00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山西九恒工程项目管理有限公司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76.82</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城乡医疗救助资金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市低保中心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2550.00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山西奥杰资产评估有限公司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76.27</w:t>
            </w:r>
          </w:p>
        </w:tc>
      </w:tr>
      <w:tr>
        <w:tblPrEx>
          <w:tblLayout w:type="fixed"/>
          <w:tblCellMar>
            <w:top w:w="0" w:type="dxa"/>
            <w:left w:w="0" w:type="dxa"/>
            <w:bottom w:w="0" w:type="dxa"/>
            <w:right w:w="0" w:type="dxa"/>
          </w:tblCellMar>
        </w:tblPrEx>
        <w:trPr>
          <w:trHeight w:val="11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2018年政法转移支付资金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长治市公安局郊区分局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362.00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长治宏信审计事务所有限公司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w:t>
            </w:r>
          </w:p>
        </w:tc>
      </w:tr>
      <w:tr>
        <w:tblPrEx>
          <w:tblLayout w:type="fixed"/>
          <w:tblCellMar>
            <w:top w:w="0" w:type="dxa"/>
            <w:left w:w="0" w:type="dxa"/>
            <w:bottom w:w="0" w:type="dxa"/>
            <w:right w:w="0" w:type="dxa"/>
          </w:tblCellMar>
        </w:tblPrEx>
        <w:trPr>
          <w:trHeight w:val="5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高等级耕地开发项目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市国土局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山西永义会计师事务所有限公司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75.36 </w:t>
            </w:r>
          </w:p>
        </w:tc>
      </w:tr>
      <w:tr>
        <w:tblPrEx>
          <w:tblLayout w:type="fixed"/>
          <w:tblCellMar>
            <w:top w:w="0" w:type="dxa"/>
            <w:left w:w="0" w:type="dxa"/>
            <w:bottom w:w="0" w:type="dxa"/>
            <w:right w:w="0" w:type="dxa"/>
          </w:tblCellMar>
        </w:tblPrEx>
        <w:trPr>
          <w:trHeight w:val="10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市直单位办公用房（原正大学校保留建筑）维修改造工程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长治市机关事务管理服务中心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75.3</w:t>
            </w:r>
          </w:p>
        </w:tc>
      </w:tr>
      <w:tr>
        <w:tblPrEx>
          <w:tblLayout w:type="fixed"/>
          <w:tblCellMar>
            <w:top w:w="0" w:type="dxa"/>
            <w:left w:w="0" w:type="dxa"/>
            <w:bottom w:w="0" w:type="dxa"/>
            <w:right w:w="0" w:type="dxa"/>
          </w:tblCellMar>
        </w:tblPrEx>
        <w:trPr>
          <w:trHeight w:val="7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业务技侦用房</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长治市公安局城区分局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1300.00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长治宏信审计事务所有限公司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w:t>
            </w:r>
          </w:p>
        </w:tc>
      </w:tr>
      <w:tr>
        <w:tblPrEx>
          <w:tblLayout w:type="fixed"/>
          <w:tblCellMar>
            <w:top w:w="0" w:type="dxa"/>
            <w:left w:w="0" w:type="dxa"/>
            <w:bottom w:w="0" w:type="dxa"/>
            <w:right w:w="0" w:type="dxa"/>
          </w:tblCellMar>
        </w:tblPrEx>
        <w:trPr>
          <w:trHeight w:val="10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七中综合楼维修改造及消防改造项目工程款</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长治市第七中学校</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299.75 </w:t>
            </w:r>
          </w:p>
        </w:tc>
        <w:tc>
          <w:tcPr>
            <w:tcW w:w="132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74.82</w:t>
            </w:r>
          </w:p>
        </w:tc>
      </w:tr>
      <w:tr>
        <w:tblPrEx>
          <w:tblLayout w:type="fixed"/>
          <w:tblCellMar>
            <w:top w:w="0" w:type="dxa"/>
            <w:left w:w="0" w:type="dxa"/>
            <w:bottom w:w="0" w:type="dxa"/>
            <w:right w:w="0" w:type="dxa"/>
          </w:tblCellMar>
        </w:tblPrEx>
        <w:trPr>
          <w:trHeight w:val="6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八一桥主桥桥梁建设工程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1176.00 </w:t>
            </w:r>
          </w:p>
        </w:tc>
        <w:tc>
          <w:tcPr>
            <w:tcW w:w="13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74.7</w:t>
            </w:r>
          </w:p>
        </w:tc>
      </w:tr>
      <w:tr>
        <w:tblPrEx>
          <w:tblLayout w:type="fixed"/>
          <w:tblCellMar>
            <w:top w:w="0" w:type="dxa"/>
            <w:left w:w="0" w:type="dxa"/>
            <w:bottom w:w="0" w:type="dxa"/>
            <w:right w:w="0" w:type="dxa"/>
          </w:tblCellMar>
        </w:tblPrEx>
        <w:trPr>
          <w:trHeight w:val="9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西一环路史家庄小学人行过街天桥工程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318.00 </w:t>
            </w:r>
          </w:p>
        </w:tc>
        <w:tc>
          <w:tcPr>
            <w:tcW w:w="1323"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73.66</w:t>
            </w:r>
          </w:p>
        </w:tc>
      </w:tr>
      <w:tr>
        <w:tblPrEx>
          <w:tblLayout w:type="fixed"/>
          <w:tblCellMar>
            <w:top w:w="0" w:type="dxa"/>
            <w:left w:w="0" w:type="dxa"/>
            <w:bottom w:w="0" w:type="dxa"/>
            <w:right w:w="0" w:type="dxa"/>
          </w:tblCellMar>
        </w:tblPrEx>
        <w:trPr>
          <w:trHeight w:val="11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辛安泉域泉核心区生态环境保护和源头治理</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长治市辛安泉域管理中心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150.00 </w:t>
            </w:r>
          </w:p>
        </w:tc>
        <w:tc>
          <w:tcPr>
            <w:tcW w:w="1323"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山西屯留恒信审计事务所有限公司</w:t>
            </w:r>
          </w:p>
        </w:tc>
        <w:tc>
          <w:tcPr>
            <w:tcW w:w="66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73.32</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泽馨公园建设</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市园林局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328.24 </w:t>
            </w:r>
          </w:p>
        </w:tc>
        <w:tc>
          <w:tcPr>
            <w:tcW w:w="1323"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71.67</w:t>
            </w:r>
          </w:p>
        </w:tc>
      </w:tr>
      <w:tr>
        <w:tblPrEx>
          <w:tblLayout w:type="fixed"/>
          <w:tblCellMar>
            <w:top w:w="0" w:type="dxa"/>
            <w:left w:w="0" w:type="dxa"/>
            <w:bottom w:w="0" w:type="dxa"/>
            <w:right w:w="0" w:type="dxa"/>
          </w:tblCellMar>
        </w:tblPrEx>
        <w:trPr>
          <w:trHeight w:val="10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紫金西街和五针街两座铁路立交桥工程资金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11206.35 </w:t>
            </w:r>
          </w:p>
        </w:tc>
        <w:tc>
          <w:tcPr>
            <w:tcW w:w="1323"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70.49</w:t>
            </w:r>
          </w:p>
        </w:tc>
      </w:tr>
      <w:tr>
        <w:tblPrEx>
          <w:tblLayout w:type="fixed"/>
          <w:tblCellMar>
            <w:top w:w="0" w:type="dxa"/>
            <w:left w:w="0" w:type="dxa"/>
            <w:bottom w:w="0" w:type="dxa"/>
            <w:right w:w="0" w:type="dxa"/>
          </w:tblCellMar>
        </w:tblPrEx>
        <w:trPr>
          <w:trHeight w:val="54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架空线路和杆架专项整治</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2929.60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70.24</w:t>
            </w:r>
          </w:p>
        </w:tc>
      </w:tr>
      <w:tr>
        <w:tblPrEx>
          <w:tblLayout w:type="fixed"/>
          <w:tblCellMar>
            <w:top w:w="0" w:type="dxa"/>
            <w:left w:w="0" w:type="dxa"/>
            <w:bottom w:w="0" w:type="dxa"/>
            <w:right w:w="0" w:type="dxa"/>
          </w:tblCellMar>
        </w:tblPrEx>
        <w:trPr>
          <w:trHeight w:val="6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泽馨园学校建设项目经费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长治市教育局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4000.00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70.1</w:t>
            </w:r>
          </w:p>
        </w:tc>
      </w:tr>
      <w:tr>
        <w:tblPrEx>
          <w:tblLayout w:type="fixed"/>
          <w:tblCellMar>
            <w:top w:w="0" w:type="dxa"/>
            <w:left w:w="0" w:type="dxa"/>
            <w:bottom w:w="0" w:type="dxa"/>
            <w:right w:w="0" w:type="dxa"/>
          </w:tblCellMar>
        </w:tblPrEx>
        <w:trPr>
          <w:trHeight w:val="9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51</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天晚集桥梁和延安南路桥梁建设工程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52</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长治市文化局市直四院团建设项目经费</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长治市文化局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289.77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68.4</w:t>
            </w:r>
          </w:p>
        </w:tc>
      </w:tr>
      <w:tr>
        <w:tblPrEx>
          <w:tblLayout w:type="fixed"/>
          <w:tblCellMar>
            <w:top w:w="0" w:type="dxa"/>
            <w:left w:w="0" w:type="dxa"/>
            <w:bottom w:w="0" w:type="dxa"/>
            <w:right w:w="0" w:type="dxa"/>
          </w:tblCellMar>
        </w:tblPrEx>
        <w:trPr>
          <w:trHeight w:val="1044"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53</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保宁门街道路改扩建工程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10000.00 </w:t>
            </w:r>
          </w:p>
        </w:tc>
        <w:tc>
          <w:tcPr>
            <w:tcW w:w="13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w:t>
            </w:r>
          </w:p>
        </w:tc>
      </w:tr>
      <w:tr>
        <w:tblPrEx>
          <w:tblLayout w:type="fixed"/>
          <w:tblCellMar>
            <w:top w:w="0" w:type="dxa"/>
            <w:left w:w="0" w:type="dxa"/>
            <w:bottom w:w="0" w:type="dxa"/>
            <w:right w:w="0" w:type="dxa"/>
          </w:tblCellMar>
        </w:tblPrEx>
        <w:trPr>
          <w:trHeight w:val="5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54</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长治学院人行过街天桥工程（延安北路）</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市住建局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229.00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67.10 </w:t>
            </w:r>
          </w:p>
        </w:tc>
      </w:tr>
      <w:tr>
        <w:tblPrEx>
          <w:tblLayout w:type="fixed"/>
          <w:tblCellMar>
            <w:top w:w="0" w:type="dxa"/>
            <w:left w:w="0" w:type="dxa"/>
            <w:bottom w:w="0" w:type="dxa"/>
            <w:right w:w="0" w:type="dxa"/>
          </w:tblCellMar>
        </w:tblPrEx>
        <w:trPr>
          <w:trHeight w:val="66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55</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w:t>
            </w:r>
            <w:r>
              <w:rPr>
                <w:rFonts w:hint="eastAsia" w:ascii="宋体" w:hAnsi="宋体" w:eastAsia="宋体" w:cs="宋体"/>
                <w:color w:val="000000"/>
                <w:kern w:val="0"/>
                <w:sz w:val="20"/>
                <w:szCs w:val="20"/>
              </w:rPr>
              <w:t>国家煤机合成油产品质量监督检验中心（一期工程）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长治市质量技术监督检验测试所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64.54</w:t>
            </w:r>
          </w:p>
        </w:tc>
      </w:tr>
      <w:tr>
        <w:tblPrEx>
          <w:tblLayout w:type="fixed"/>
          <w:tblCellMar>
            <w:top w:w="0" w:type="dxa"/>
            <w:left w:w="0" w:type="dxa"/>
            <w:bottom w:w="0" w:type="dxa"/>
            <w:right w:w="0" w:type="dxa"/>
          </w:tblCellMar>
        </w:tblPrEx>
        <w:trPr>
          <w:trHeight w:val="98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56</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提前下达2018年现代职业教育质量提升计划中央专项资金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长治职业技术学院</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671.00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长治中瑞会计师事务所有限公司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61.99</w:t>
            </w:r>
          </w:p>
        </w:tc>
      </w:tr>
      <w:tr>
        <w:tblPrEx>
          <w:tblLayout w:type="fixed"/>
          <w:tblCellMar>
            <w:top w:w="0" w:type="dxa"/>
            <w:left w:w="0" w:type="dxa"/>
            <w:bottom w:w="0" w:type="dxa"/>
            <w:right w:w="0" w:type="dxa"/>
          </w:tblCellMar>
        </w:tblPrEx>
        <w:trPr>
          <w:trHeight w:val="9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57</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309国道环线工程</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长治市公路局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8000.00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长治市财政投资评审中心</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61.65</w:t>
            </w:r>
          </w:p>
        </w:tc>
      </w:tr>
      <w:tr>
        <w:tblPrEx>
          <w:tblLayout w:type="fixed"/>
          <w:tblCellMar>
            <w:top w:w="0" w:type="dxa"/>
            <w:left w:w="0" w:type="dxa"/>
            <w:bottom w:w="0" w:type="dxa"/>
            <w:right w:w="0" w:type="dxa"/>
          </w:tblCellMar>
        </w:tblPrEx>
        <w:trPr>
          <w:trHeight w:val="6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58</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★王村高灌渠补水项目</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长治市襄屯灌区管理中心</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一次性项目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100.00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山西华普绩效管理咨询有限公司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61.03</w:t>
            </w:r>
          </w:p>
        </w:tc>
      </w:tr>
      <w:tr>
        <w:tblPrEx>
          <w:tblLayout w:type="fixed"/>
          <w:tblCellMar>
            <w:top w:w="0" w:type="dxa"/>
            <w:left w:w="0" w:type="dxa"/>
            <w:bottom w:w="0" w:type="dxa"/>
            <w:right w:w="0" w:type="dxa"/>
          </w:tblCellMar>
        </w:tblPrEx>
        <w:trPr>
          <w:trHeight w:val="72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59</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2017年煤改气、煤改电等清洁取暖项目资金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市环保局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20000.00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山西永义会计师事务所有限公司</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60.43</w:t>
            </w:r>
          </w:p>
        </w:tc>
      </w:tr>
      <w:tr>
        <w:tblPrEx>
          <w:tblLayout w:type="fixed"/>
          <w:tblCellMar>
            <w:top w:w="0" w:type="dxa"/>
            <w:left w:w="0" w:type="dxa"/>
            <w:bottom w:w="0" w:type="dxa"/>
            <w:right w:w="0" w:type="dxa"/>
          </w:tblCellMar>
        </w:tblPrEx>
        <w:trPr>
          <w:trHeight w:val="700" w:hRule="atLeast"/>
        </w:trPr>
        <w:tc>
          <w:tcPr>
            <w:tcW w:w="3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60</w:t>
            </w:r>
          </w:p>
        </w:tc>
        <w:tc>
          <w:tcPr>
            <w:tcW w:w="2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★外向型经济“助保贷”平台配套资金</w:t>
            </w:r>
          </w:p>
        </w:tc>
        <w:tc>
          <w:tcPr>
            <w:tcW w:w="1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长治市商务局</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延续性项目</w:t>
            </w:r>
          </w:p>
        </w:tc>
        <w:tc>
          <w:tcPr>
            <w:tcW w:w="13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500.00 </w:t>
            </w:r>
          </w:p>
        </w:tc>
        <w:tc>
          <w:tcPr>
            <w:tcW w:w="13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山西财智会计师事务所</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42.5</w:t>
            </w:r>
          </w:p>
        </w:tc>
      </w:tr>
    </w:tbl>
    <w:p>
      <w:pPr>
        <w:spacing w:line="600" w:lineRule="exact"/>
        <w:ind w:firstLine="472" w:firstLineChars="147"/>
        <w:rPr>
          <w:rFonts w:ascii="楷体" w:hAnsi="楷体" w:eastAsia="楷体" w:cs="Arial"/>
          <w:b/>
          <w:bCs/>
          <w:color w:val="000000"/>
          <w:sz w:val="32"/>
          <w:szCs w:val="32"/>
        </w:rPr>
      </w:pPr>
      <w:r>
        <w:rPr>
          <w:rFonts w:hint="eastAsia" w:ascii="楷体" w:hAnsi="楷体" w:eastAsia="楷体" w:cs="Arial"/>
          <w:b/>
          <w:bCs/>
          <w:color w:val="000000"/>
          <w:sz w:val="32"/>
          <w:szCs w:val="32"/>
        </w:rPr>
        <w:t>（五）推进部门整体评价试点，提升部门管理能力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推进预算绩效管理，增强部门财政支出责任和效率意识，树立“用钱必问效、无效必问责”的绩效管理理念，根据年度绩效管理工作计划，在绩效管理工作稳步推进的基础上，结合市人大财经委开展的年度预算初审工作，</w:t>
      </w:r>
      <w:r>
        <w:rPr>
          <w:rFonts w:hint="eastAsia" w:ascii="仿宋_GB2312" w:hAnsi="仿宋_GB2312" w:eastAsia="仿宋_GB2312" w:cs="仿宋_GB2312"/>
          <w:sz w:val="32"/>
        </w:rPr>
        <w:t>对长治市商务局、长治市司法局、长治市教育局、长治市襄屯灌区管理中心四个部门</w:t>
      </w:r>
      <w:r>
        <w:rPr>
          <w:rFonts w:hint="eastAsia" w:ascii="仿宋_GB2312" w:hAnsi="仿宋_GB2312" w:eastAsia="仿宋_GB2312" w:cs="仿宋_GB2312"/>
          <w:sz w:val="32"/>
          <w:szCs w:val="32"/>
        </w:rPr>
        <w:t>为部门预算整体绩效评价试点单位。通过对部门整体绩效评价的探索推进，有效增强了预算部门对预算编制、执行、监督与绩效管理全过程管理的意识和能力，提高了财政资金使用效益，促进了预算部门更好地履职尽责。</w:t>
      </w:r>
    </w:p>
    <w:p>
      <w:pPr>
        <w:spacing w:line="600" w:lineRule="exact"/>
        <w:ind w:firstLine="472" w:firstLineChars="147"/>
        <w:rPr>
          <w:rFonts w:ascii="楷体" w:hAnsi="楷体" w:eastAsia="楷体" w:cs="Arial"/>
          <w:b/>
          <w:bCs/>
          <w:color w:val="000000"/>
          <w:sz w:val="32"/>
          <w:szCs w:val="32"/>
        </w:rPr>
      </w:pPr>
      <w:r>
        <w:rPr>
          <w:rFonts w:hint="eastAsia" w:ascii="楷体" w:hAnsi="楷体" w:eastAsia="楷体" w:cs="Arial"/>
          <w:b/>
          <w:color w:val="000000"/>
          <w:sz w:val="32"/>
          <w:szCs w:val="32"/>
        </w:rPr>
        <w:t>（六）</w:t>
      </w:r>
      <w:r>
        <w:rPr>
          <w:rFonts w:hint="eastAsia" w:ascii="楷体" w:hAnsi="楷体" w:eastAsia="楷体" w:cs="Arial"/>
          <w:b/>
          <w:bCs/>
          <w:color w:val="000000"/>
          <w:sz w:val="32"/>
          <w:szCs w:val="32"/>
        </w:rPr>
        <w:t>落实结果应用，提高资金使用效益</w:t>
      </w:r>
    </w:p>
    <w:p>
      <w:pPr>
        <w:spacing w:line="600" w:lineRule="exact"/>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建立报告、反馈机制和绩效评价结果与预算资金安排有机结合机制。将评价结果向被评价单位和财政部门预算管理科室进行反馈，被评价单位结合评价意见、建议认真整改，财政局部门预算管理科室将评价结果作为预算编制的重要依据，根据评价结果调整预算安排。根据2019年的重点评价报告，我们认真整理汇总，向项目单位反馈206条项目实施中存在的问题，针对这些问题，绩效科组织评审专家分析并提出，提出212条专业的整改建议。市财政局及时把评价结果反馈项目单位，督促其认真整改，并积极与编制2020年度部门预算有机衔接，使评价结果得到有效利用。</w:t>
      </w:r>
    </w:p>
    <w:p>
      <w:pPr>
        <w:spacing w:line="600" w:lineRule="exact"/>
        <w:ind w:firstLine="472" w:firstLineChars="147"/>
        <w:rPr>
          <w:rFonts w:ascii="楷体" w:hAnsi="楷体" w:eastAsia="楷体" w:cs="Arial"/>
          <w:b/>
          <w:bCs/>
          <w:color w:val="000000"/>
          <w:sz w:val="32"/>
          <w:szCs w:val="32"/>
        </w:rPr>
      </w:pPr>
      <w:r>
        <w:rPr>
          <w:rFonts w:hint="eastAsia" w:ascii="楷体" w:hAnsi="楷体" w:eastAsia="楷体" w:cs="Arial"/>
          <w:b/>
          <w:bCs/>
          <w:color w:val="000000"/>
          <w:sz w:val="32"/>
          <w:szCs w:val="32"/>
        </w:rPr>
        <w:t>（七）强化扶贫资金绩效管理，助力脱贫攻坚</w:t>
      </w:r>
    </w:p>
    <w:p>
      <w:pPr>
        <w:spacing w:line="600" w:lineRule="exact"/>
        <w:ind w:firstLine="640" w:firstLineChars="200"/>
        <w:rPr>
          <w:rFonts w:ascii="仿宋_GB2312" w:hAnsi="仿宋" w:eastAsia="仿宋_GB2312"/>
          <w:bCs/>
          <w:sz w:val="32"/>
          <w:szCs w:val="32"/>
        </w:rPr>
      </w:pPr>
      <w:r>
        <w:rPr>
          <w:rFonts w:hint="eastAsia" w:ascii="仿宋_GB2312" w:hAnsi="仿宋_GB2312" w:eastAsia="仿宋_GB2312" w:cs="仿宋_GB2312"/>
          <w:sz w:val="32"/>
          <w:szCs w:val="32"/>
        </w:rPr>
        <w:t>为了强化全市预算绩效管理，推动扶贫项目资金绩效管理工作扎实有效开展，发挥</w:t>
      </w:r>
      <w:r>
        <w:rPr>
          <w:rFonts w:hint="eastAsia" w:ascii="仿宋_GB2312" w:hAnsi="仿宋_GB2312" w:eastAsia="仿宋_GB2312" w:cs="仿宋_GB2312"/>
          <w:color w:val="000000"/>
          <w:kern w:val="0"/>
          <w:sz w:val="32"/>
          <w:szCs w:val="32"/>
        </w:rPr>
        <w:t>扶贫项目资金绩效管理对全面实施预算绩效管理改革的示范和带动作用。</w:t>
      </w:r>
      <w:r>
        <w:rPr>
          <w:rFonts w:hint="eastAsia" w:ascii="仿宋_GB2312" w:hAnsi="仿宋_GB2312" w:eastAsia="仿宋_GB2312" w:cs="仿宋_GB2312"/>
          <w:sz w:val="32"/>
          <w:szCs w:val="32"/>
        </w:rPr>
        <w:t>进一步加强对扶贫资金的绩效监管，通过召开工作动员、业务辅导、现场调研、微信群点对点交流等多种方式进行安排部署，绩效目标填报审核阶段性任务全部完成，</w:t>
      </w:r>
      <w:r>
        <w:rPr>
          <w:rFonts w:hint="eastAsia" w:ascii="仿宋_GB2312" w:hAnsi="仿宋" w:eastAsia="仿宋_GB2312"/>
          <w:bCs/>
          <w:sz w:val="32"/>
          <w:szCs w:val="32"/>
        </w:rPr>
        <w:t>实现绩效目标</w:t>
      </w:r>
      <w:r>
        <w:rPr>
          <w:rFonts w:hint="eastAsia" w:ascii="仿宋_GB2312" w:hAnsi="仿宋_GB2312" w:eastAsia="仿宋_GB2312" w:cs="仿宋_GB2312"/>
          <w:sz w:val="32"/>
          <w:szCs w:val="32"/>
        </w:rPr>
        <w:t>填报、审核“</w:t>
      </w:r>
      <w:r>
        <w:rPr>
          <w:rFonts w:hint="eastAsia" w:ascii="仿宋_GB2312" w:hAnsi="仿宋" w:eastAsia="仿宋_GB2312"/>
          <w:bCs/>
          <w:sz w:val="32"/>
          <w:szCs w:val="32"/>
        </w:rPr>
        <w:t>双百”目标，受到省财政厅好评。</w:t>
      </w:r>
    </w:p>
    <w:p>
      <w:pPr>
        <w:rPr>
          <w:rFonts w:ascii="Times New Roman" w:hAnsi="Times New Roman" w:cs="Times New Roman"/>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9161007"/>
      <w:docPartObj>
        <w:docPartGallery w:val="AutoText"/>
      </w:docPartObj>
    </w:sdtPr>
    <w:sdtContent>
      <w:p>
        <w:pPr>
          <w:pStyle w:val="8"/>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13</w:t>
        </w:r>
        <w:r>
          <w:rPr>
            <w:rFonts w:ascii="Times New Roman" w:hAnsi="Times New Roman" w:cs="Times New Roman"/>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C3F96"/>
    <w:rsid w:val="000D17EA"/>
    <w:rsid w:val="00111450"/>
    <w:rsid w:val="00117E3D"/>
    <w:rsid w:val="001A667C"/>
    <w:rsid w:val="001C3AF7"/>
    <w:rsid w:val="002C5F73"/>
    <w:rsid w:val="0031158F"/>
    <w:rsid w:val="0031529C"/>
    <w:rsid w:val="003522A2"/>
    <w:rsid w:val="00463D24"/>
    <w:rsid w:val="00494F94"/>
    <w:rsid w:val="004F3FF1"/>
    <w:rsid w:val="006F4B74"/>
    <w:rsid w:val="00797FF9"/>
    <w:rsid w:val="008831E8"/>
    <w:rsid w:val="00971805"/>
    <w:rsid w:val="0097585F"/>
    <w:rsid w:val="00BA4335"/>
    <w:rsid w:val="00BE7907"/>
    <w:rsid w:val="00D651BD"/>
    <w:rsid w:val="00DA30BC"/>
    <w:rsid w:val="00E3331B"/>
    <w:rsid w:val="00EA4D70"/>
    <w:rsid w:val="00F74C95"/>
    <w:rsid w:val="00FC50C6"/>
    <w:rsid w:val="00FF6A19"/>
    <w:rsid w:val="09CD1D9A"/>
    <w:rsid w:val="142B534F"/>
    <w:rsid w:val="17D93043"/>
    <w:rsid w:val="183D143A"/>
    <w:rsid w:val="188840A1"/>
    <w:rsid w:val="18EE5B5B"/>
    <w:rsid w:val="1C4A115C"/>
    <w:rsid w:val="1F9B318C"/>
    <w:rsid w:val="201B5638"/>
    <w:rsid w:val="212D1687"/>
    <w:rsid w:val="21D43DDB"/>
    <w:rsid w:val="22B4034F"/>
    <w:rsid w:val="23807A8E"/>
    <w:rsid w:val="270F3FDF"/>
    <w:rsid w:val="2B4E30C6"/>
    <w:rsid w:val="2B99651C"/>
    <w:rsid w:val="2E4D0866"/>
    <w:rsid w:val="2EEA0ED1"/>
    <w:rsid w:val="2F6C243B"/>
    <w:rsid w:val="30264B34"/>
    <w:rsid w:val="30936173"/>
    <w:rsid w:val="31AD1A21"/>
    <w:rsid w:val="36A11504"/>
    <w:rsid w:val="379836AD"/>
    <w:rsid w:val="3A9F6163"/>
    <w:rsid w:val="3ABC192D"/>
    <w:rsid w:val="3D5F1130"/>
    <w:rsid w:val="3DC87D6C"/>
    <w:rsid w:val="3F9D5B14"/>
    <w:rsid w:val="4065019F"/>
    <w:rsid w:val="466057C1"/>
    <w:rsid w:val="4B5551FE"/>
    <w:rsid w:val="4D570E5F"/>
    <w:rsid w:val="4DB91131"/>
    <w:rsid w:val="4E201790"/>
    <w:rsid w:val="4F880B95"/>
    <w:rsid w:val="510B718B"/>
    <w:rsid w:val="51C51127"/>
    <w:rsid w:val="557553AC"/>
    <w:rsid w:val="56DC3F96"/>
    <w:rsid w:val="5E60452A"/>
    <w:rsid w:val="63DC0640"/>
    <w:rsid w:val="64FF4F0C"/>
    <w:rsid w:val="65686B47"/>
    <w:rsid w:val="66522096"/>
    <w:rsid w:val="68D641AF"/>
    <w:rsid w:val="6919636A"/>
    <w:rsid w:val="6AD364FE"/>
    <w:rsid w:val="6B464815"/>
    <w:rsid w:val="6BC41CEB"/>
    <w:rsid w:val="6D5259E7"/>
    <w:rsid w:val="72BB07F7"/>
    <w:rsid w:val="72D7223C"/>
    <w:rsid w:val="73E534F6"/>
    <w:rsid w:val="78452ACC"/>
    <w:rsid w:val="79BD788F"/>
    <w:rsid w:val="79C55083"/>
    <w:rsid w:val="7AB0675E"/>
    <w:rsid w:val="7AD068E0"/>
    <w:rsid w:val="7D863E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spacing w:after="120"/>
    </w:pPr>
    <w:rPr>
      <w:rFonts w:ascii="Calibri" w:hAnsi="Calibri"/>
    </w:rPr>
  </w:style>
  <w:style w:type="paragraph" w:styleId="5">
    <w:name w:val="Body Text Indent"/>
    <w:basedOn w:val="1"/>
    <w:unhideWhenUsed/>
    <w:qFormat/>
    <w:uiPriority w:val="99"/>
    <w:pPr>
      <w:spacing w:after="120"/>
      <w:ind w:left="420" w:leftChars="200"/>
    </w:pPr>
  </w:style>
  <w:style w:type="paragraph" w:styleId="6">
    <w:name w:val="Plain Text"/>
    <w:basedOn w:val="1"/>
    <w:uiPriority w:val="0"/>
    <w:rPr>
      <w:rFonts w:ascii="宋体" w:hAnsi="Courier New" w:cs="Courier New"/>
      <w:szCs w:val="21"/>
    </w:rPr>
  </w:style>
  <w:style w:type="paragraph" w:styleId="7">
    <w:name w:val="Balloon Text"/>
    <w:basedOn w:val="1"/>
    <w:link w:val="16"/>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unhideWhenUsed/>
    <w:qFormat/>
    <w:uiPriority w:val="99"/>
    <w:pPr>
      <w:ind w:firstLine="420" w:firstLineChars="200"/>
    </w:p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闻政正文"/>
    <w:basedOn w:val="1"/>
    <w:qFormat/>
    <w:uiPriority w:val="0"/>
    <w:pPr>
      <w:spacing w:line="500" w:lineRule="exact"/>
      <w:ind w:firstLine="560" w:firstLineChars="200"/>
    </w:pPr>
    <w:rPr>
      <w:rFonts w:eastAsia="仿宋_GB2312"/>
      <w:kern w:val="0"/>
      <w:sz w:val="28"/>
      <w:szCs w:val="28"/>
    </w:rPr>
  </w:style>
  <w:style w:type="character" w:customStyle="1" w:styleId="16">
    <w:name w:val="批注框文本 Char"/>
    <w:basedOn w:val="12"/>
    <w:link w:val="7"/>
    <w:uiPriority w:val="0"/>
    <w:rPr>
      <w:rFonts w:asciiTheme="minorHAnsi" w:hAnsiTheme="minorHAnsi" w:eastAsiaTheme="minorEastAsia" w:cstheme="minorBidi"/>
      <w:kern w:val="2"/>
      <w:sz w:val="18"/>
      <w:szCs w:val="18"/>
    </w:rPr>
  </w:style>
  <w:style w:type="character" w:customStyle="1" w:styleId="17">
    <w:name w:val="页脚 Char"/>
    <w:basedOn w:val="12"/>
    <w:link w:val="8"/>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13</Pages>
  <Words>6520</Words>
  <Characters>1474</Characters>
  <Lines>12</Lines>
  <Paragraphs>15</Paragraphs>
  <TotalTime>198</TotalTime>
  <ScaleCrop>false</ScaleCrop>
  <LinksUpToDate>false</LinksUpToDate>
  <CharactersWithSpaces>7979</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2017-04-01T03:15:00Z</dcterms:created>
  <dc:creator>null,null,预算公开</dc:creator>
  <cp:lastModifiedBy>甜儿</cp:lastModifiedBy>
  <cp:lastPrinted>2020-05-13T10:20:00Z</cp:lastPrinted>
  <dcterms:modified xsi:type="dcterms:W3CDTF">2020-06-15T07:24:31Z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