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Times New Roman" w:eastAsia="方正小标宋简体" w:cs="Times New Roman"/>
          <w:b w:val="0"/>
          <w:bCs/>
        </w:rPr>
      </w:pPr>
    </w:p>
    <w:p>
      <w:pPr>
        <w:pStyle w:val="2"/>
        <w:jc w:val="center"/>
        <w:rPr>
          <w:rFonts w:ascii="方正小标宋简体" w:hAnsi="Times New Roman" w:eastAsia="方正小标宋简体" w:cs="Times New Roman"/>
          <w:b w:val="0"/>
          <w:bCs/>
        </w:rPr>
      </w:pPr>
      <w:r>
        <w:rPr>
          <w:rFonts w:hint="eastAsia" w:ascii="方正小标宋简体" w:hAnsi="Times New Roman" w:eastAsia="方正小标宋简体" w:cs="Times New Roman"/>
          <w:b w:val="0"/>
          <w:bCs/>
        </w:rPr>
        <w:t>20</w:t>
      </w:r>
      <w:r>
        <w:rPr>
          <w:rFonts w:hint="eastAsia" w:ascii="方正小标宋简体" w:hAnsi="Times New Roman" w:eastAsia="方正小标宋简体" w:cs="Times New Roman"/>
          <w:b w:val="0"/>
          <w:bCs/>
          <w:lang w:val="en-US" w:eastAsia="zh-CN"/>
        </w:rPr>
        <w:t>20</w:t>
      </w:r>
      <w:r>
        <w:rPr>
          <w:rFonts w:hint="eastAsia" w:ascii="方正小标宋简体" w:hAnsi="Times New Roman" w:eastAsia="方正小标宋简体" w:cs="Times New Roman"/>
          <w:b w:val="0"/>
          <w:bCs/>
        </w:rPr>
        <w:t>年政府</w:t>
      </w:r>
      <w:r>
        <w:rPr>
          <w:rFonts w:hint="eastAsia" w:ascii="方正小标宋简体" w:hAnsi="Times New Roman" w:eastAsia="方正小标宋简体" w:cs="Times New Roman"/>
          <w:b w:val="0"/>
          <w:bCs/>
          <w:lang w:val="en-US" w:eastAsia="zh-CN"/>
        </w:rPr>
        <w:t>决算</w:t>
      </w:r>
      <w:r>
        <w:rPr>
          <w:rFonts w:hint="eastAsia" w:ascii="方正小标宋简体" w:hAnsi="Times New Roman" w:eastAsia="方正小标宋简体" w:cs="Times New Roman"/>
          <w:b w:val="0"/>
          <w:bCs/>
        </w:rPr>
        <w:t>公开相关说明</w:t>
      </w:r>
    </w:p>
    <w:p>
      <w:pPr>
        <w:ind w:firstLine="42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2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根据《财政部关于印发&lt;地方预决算公开操作规程&gt;的通知》（财预〔201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〕143号）文件精神，为方便社会公众对我市20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决算</w:t>
      </w:r>
      <w:r>
        <w:rPr>
          <w:rFonts w:ascii="Times New Roman" w:hAnsi="Times New Roman" w:eastAsia="仿宋_GB2312" w:cs="Times New Roman"/>
          <w:sz w:val="32"/>
          <w:szCs w:val="32"/>
        </w:rPr>
        <w:t>的理解和监督，现将有关重要事项说明如下：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财政转移支付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执行</w:t>
      </w:r>
      <w:r>
        <w:rPr>
          <w:rFonts w:ascii="Times New Roman" w:hAnsi="Times New Roman" w:eastAsia="黑体" w:cs="Times New Roman"/>
          <w:sz w:val="32"/>
          <w:szCs w:val="32"/>
        </w:rPr>
        <w:t>情况说明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税收返还和转移支付决算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175.31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亿元，具体安排情况如下：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返还性支出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1.67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具体项目安排情况见决算表。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2、一般性转移支付支出1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38.59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级统筹中央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和省级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补助等资金，通过一般转移支付安排的补助县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资金，其中：体制补助支出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2910万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元，均衡性转移支付支出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40.52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亿元，革命老区转移支付支出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7454万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元，贫困地区转移支付支出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5.07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亿元，固定数额补助支出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亿元，县级基本财力保障机制奖补资金支出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亿元，产粮（油）大县奖励资金支出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2358万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元，重点生态功能区转移支付支出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1113万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元，资源枯竭型城市转移支付补助支出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7922万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元，结算补助支出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5.04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亿元，共同财政事权转移支付支出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44.47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亿元，其他一般性转移支付支出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8987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元。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3、专项转移支付支出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35.06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亿元，具体项目安排情况见决算表。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举借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黑体" w:cs="Times New Roman"/>
          <w:sz w:val="32"/>
          <w:szCs w:val="32"/>
        </w:rPr>
        <w:t>债务情况说明</w:t>
      </w:r>
    </w:p>
    <w:p>
      <w:pPr>
        <w:pStyle w:val="18"/>
        <w:spacing w:line="56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2020年省财政厅核定我市新增债务限额58.22亿元，其中：市本级使用30.55亿元，转贷各县27.67亿元，主要用于公共基础设施建设、城市道路、产业园区基础设施、太焦高铁及旅游公路建设，有效支持了污水处理、脱贫攻坚、棚户区改造、城商行改革等重大项目建设和转型综改发展，为疫情之下我市经济恢复和转型发展提供了强有力的资金保障。</w:t>
      </w:r>
    </w:p>
    <w:p>
      <w:pPr>
        <w:pStyle w:val="18"/>
        <w:spacing w:line="56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2020年省财政厅共下达我市再融资债券16.93亿元，其中：市本级使用10.98亿元，转贷各县5.95亿元，主要用于偿还以前年度发行、当年到期的政府债券资金。债券资金对缓解我市到期债务的偿付压力、防范财政金融风险发挥了积极作用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截至2020年底，全市政府债务余额254.03亿元，控制在省财政厅核定的债务限额256.34亿元之内。其中：市本级（含高新区和经开区）债务余额164.53亿元，12个县区债务余额89.5亿元。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预算绩效开展情况说明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市预算绩效管理工作紧紧围绕全市中心工作，认真贯彻党的十九大“建立全面规范透明、标准科学、约束有力的预算制度，全面实施绩效管理”精神，严格按照《中共中央、国务院关于全面实施预算绩效管理的意见》和《中共山西省委、山西省人民政府关于全面实施预算绩效管理的实施意见》的要求，以建立全方位、全过程、全覆盖的预算绩效管理体系为目标，通过建机制、扩范围、抓重点、补短板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积极构建全面实施预算绩效管理体系，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着力提高财政资源配置效率和使用效益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主要采取了以下措施：</w:t>
      </w:r>
    </w:p>
    <w:p>
      <w:pPr>
        <w:spacing w:line="600" w:lineRule="exact"/>
        <w:ind w:firstLine="472" w:firstLineChars="147"/>
        <w:rPr>
          <w:rStyle w:val="13"/>
          <w:rFonts w:ascii="楷体" w:hAnsi="楷体" w:eastAsia="楷体" w:cs="Arial"/>
          <w:color w:val="auto"/>
          <w:sz w:val="32"/>
          <w:szCs w:val="32"/>
        </w:rPr>
      </w:pPr>
      <w:r>
        <w:rPr>
          <w:rStyle w:val="13"/>
          <w:rFonts w:hint="eastAsia" w:ascii="楷体" w:hAnsi="楷体" w:eastAsia="楷体" w:cs="Arial"/>
          <w:color w:val="auto"/>
          <w:sz w:val="32"/>
          <w:szCs w:val="32"/>
        </w:rPr>
        <w:t>（一）完善规章制度，构建全面绩效管理体系</w:t>
      </w:r>
    </w:p>
    <w:p>
      <w:pPr>
        <w:spacing w:line="672" w:lineRule="exact"/>
        <w:ind w:firstLine="640" w:firstLineChars="200"/>
        <w:rPr>
          <w:rStyle w:val="13"/>
          <w:rFonts w:ascii="楷体" w:hAnsi="楷体" w:eastAsia="楷体" w:cs="Arial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认真贯彻落实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《长治市全面实施预算绩效管理的工作方案》</w:t>
      </w:r>
      <w:r>
        <w:rPr>
          <w:rFonts w:hint="eastAsia" w:ascii="仿宋_GB2312" w:eastAsia="仿宋_GB2312"/>
          <w:color w:val="auto"/>
          <w:sz w:val="32"/>
          <w:szCs w:val="32"/>
        </w:rPr>
        <w:t>（长发</w:t>
      </w:r>
      <w:r>
        <w:rPr>
          <w:rFonts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</w:rPr>
        <w:t>19</w:t>
      </w:r>
      <w:r>
        <w:rPr>
          <w:rFonts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</w:rPr>
        <w:t>12</w:t>
      </w:r>
      <w:r>
        <w:rPr>
          <w:rFonts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</w:rPr>
        <w:t>），</w:t>
      </w:r>
      <w:r>
        <w:rPr>
          <w:rFonts w:hint="eastAsia" w:ascii="仿宋_GB2312" w:hAnsi="楷体" w:eastAsia="仿宋_GB2312" w:cs="仿宋"/>
          <w:sz w:val="32"/>
          <w:szCs w:val="32"/>
          <w:lang w:eastAsia="zh-CN"/>
        </w:rPr>
        <w:t>结合长治实际，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印发了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长治市全面实施预算绩效管理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实施细则》，明确我市全面实施预算绩效管理的时间表、路线图和具体操作规程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提出我市全面实施预算绩效管理的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指导思想、总体目标、基本原则、工作任务和保障措施，</w:t>
      </w:r>
      <w:r>
        <w:rPr>
          <w:rFonts w:hint="eastAsia" w:ascii="仿宋_GB2312" w:eastAsia="仿宋_GB2312"/>
          <w:kern w:val="0"/>
          <w:sz w:val="32"/>
          <w:szCs w:val="32"/>
        </w:rPr>
        <w:t>为下一步全面推进我市预算绩效管理工作，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建成全方位、全过程、全覆盖的预算绩效管理体系，指明了方向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县区结合地方实际出台了本县区</w:t>
      </w:r>
      <w:r>
        <w:rPr>
          <w:rFonts w:hint="eastAsia" w:ascii="仿宋_GB2312" w:hAnsi="仿宋" w:eastAsia="仿宋_GB2312"/>
          <w:sz w:val="32"/>
          <w:szCs w:val="32"/>
        </w:rPr>
        <w:t>全面实施预算绩效管理工作方案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和实施细则，为全面实施预算绩效管理奠定制度基础。</w:t>
      </w:r>
    </w:p>
    <w:p>
      <w:pPr>
        <w:spacing w:line="600" w:lineRule="exact"/>
        <w:ind w:firstLine="472" w:firstLineChars="147"/>
        <w:rPr>
          <w:rFonts w:ascii="楷体" w:hAnsi="楷体" w:eastAsia="楷体" w:cs="Arial"/>
          <w:bCs/>
          <w:color w:val="auto"/>
          <w:sz w:val="32"/>
          <w:szCs w:val="32"/>
        </w:rPr>
      </w:pPr>
      <w:r>
        <w:rPr>
          <w:rStyle w:val="13"/>
          <w:rFonts w:hint="eastAsia" w:ascii="楷体" w:hAnsi="楷体" w:eastAsia="楷体" w:cs="Arial"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Arial"/>
          <w:b/>
          <w:color w:val="auto"/>
          <w:sz w:val="32"/>
          <w:szCs w:val="32"/>
        </w:rPr>
        <w:t>加强目标管理，夯实绩效管理基础</w:t>
      </w:r>
    </w:p>
    <w:p>
      <w:pPr>
        <w:spacing w:line="672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“谁申请资金,谁设定目标”、“谁分配资金,谁审核目标”、“谁批复资金,谁批复目标”的原则,加强组织与指导，着力提升绩效目标编报质量。要求部门、单位结合本部门职能、事业发展规划和承担的重点工作任务，科学合理的测算资金需求，设置报送预算绩效目标，绩效指标要指向明确、细化量化、合理可行、相应匹配，预算绩效目标与部门预算同步报送、审核、批复下达。组织编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审核、批复项目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41.68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，实现了预算编制绩效目标全覆盖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3" w:firstLineChars="200"/>
        <w:textAlignment w:val="auto"/>
        <w:rPr>
          <w:rFonts w:hint="eastAsia" w:ascii="楷体" w:hAnsi="楷体" w:eastAsia="楷体" w:cs="Arial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Arial"/>
          <w:b/>
          <w:bCs/>
          <w:color w:val="000000"/>
          <w:kern w:val="2"/>
          <w:sz w:val="32"/>
          <w:szCs w:val="32"/>
          <w:lang w:val="en-US" w:eastAsia="zh-CN" w:bidi="ar-SA"/>
        </w:rPr>
        <w:t>积极构建事前评估机制。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"/>
          <w:sz w:val="32"/>
          <w:szCs w:val="32"/>
          <w:highlight w:val="none"/>
          <w:lang w:val="en-US" w:eastAsia="zh-CN"/>
        </w:rPr>
        <w:t>一是预算评审成效明显。严格执行《长治市财政投资评审管理办法》，继续做实财政财政预算评审工作，当年评审项目101个，涉及项目预算资金22.37亿元，审定项目预算16.6亿元，审减项目预算5.77亿元，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评审结果作为预算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安排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的必备条件</w:t>
      </w:r>
      <w:r>
        <w:rPr>
          <w:rFonts w:hint="eastAsia" w:ascii="仿宋_GB2312" w:hAnsi="楷体" w:eastAsia="仿宋_GB2312" w:cs="仿宋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二是</w:t>
      </w:r>
      <w:r>
        <w:rPr>
          <w:rFonts w:hint="eastAsia" w:ascii="仿宋_GB2312" w:hAnsi="楷体" w:eastAsia="仿宋_GB2312" w:cs="仿宋"/>
          <w:sz w:val="32"/>
          <w:szCs w:val="32"/>
          <w:lang w:eastAsia="zh-CN"/>
        </w:rPr>
        <w:t>探索事前评估试点，</w:t>
      </w:r>
      <w:r>
        <w:rPr>
          <w:rFonts w:hint="eastAsia" w:ascii="仿宋_GB2312" w:hAnsi="楷体" w:eastAsia="仿宋_GB2312" w:cs="仿宋"/>
          <w:sz w:val="32"/>
          <w:szCs w:val="32"/>
        </w:rPr>
        <w:t>选</w:t>
      </w:r>
      <w:r>
        <w:rPr>
          <w:rFonts w:hint="eastAsia" w:ascii="仿宋_GB2312" w:hAnsi="楷体" w:eastAsia="仿宋_GB2312" w:cs="仿宋"/>
          <w:sz w:val="32"/>
          <w:szCs w:val="32"/>
          <w:lang w:eastAsia="zh-CN"/>
        </w:rPr>
        <w:t>取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2020年</w:t>
      </w:r>
      <w:r>
        <w:rPr>
          <w:rFonts w:hint="eastAsia" w:ascii="仿宋_GB2312" w:hAnsi="楷体" w:eastAsia="仿宋_GB2312" w:cs="仿宋"/>
          <w:sz w:val="32"/>
          <w:szCs w:val="32"/>
        </w:rPr>
        <w:t>2个民生项目实施事前绩效评估试点，</w:t>
      </w:r>
      <w:r>
        <w:rPr>
          <w:rFonts w:hint="eastAsia" w:ascii="仿宋_GB2312" w:hAnsi="楷体" w:eastAsia="仿宋_GB2312" w:cs="仿宋"/>
          <w:sz w:val="32"/>
          <w:szCs w:val="32"/>
          <w:lang w:eastAsia="zh-CN"/>
        </w:rPr>
        <w:t>从立项必要性、绩效目标合理性、投入经济性、实施方案可行性、筹资合规性五个维度对项目实施的可行性和必要性进行了评估，打造事前、事中、事后有机衔接的全过程绩效管理系统。通过这次事前绩效评估，为预算编制和执行提供了科学依据，也为我市预算绩效事前评估工作积累了经验，为我市预算绩效事前评估管理办法的出台奠定了基础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firstLine="643" w:firstLineChars="200"/>
        <w:textAlignment w:val="auto"/>
        <w:rPr>
          <w:rFonts w:hint="eastAsia" w:ascii="楷体" w:hAnsi="楷体" w:eastAsia="楷体" w:cs="Arial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Arial"/>
          <w:b/>
          <w:color w:val="000000"/>
          <w:kern w:val="2"/>
          <w:sz w:val="32"/>
          <w:szCs w:val="32"/>
          <w:lang w:val="en-US" w:eastAsia="zh-CN" w:bidi="ar-SA"/>
        </w:rPr>
        <w:t>（四）认真组织绩效跟踪监控。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对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2020年度</w:t>
      </w:r>
      <w:r>
        <w:rPr>
          <w:rFonts w:hint="eastAsia" w:ascii="仿宋_GB2312" w:eastAsia="仿宋_GB2312"/>
          <w:bCs/>
          <w:kern w:val="0"/>
          <w:sz w:val="32"/>
          <w:szCs w:val="32"/>
        </w:rPr>
        <w:t>绩效目标实现情况和资金支出进度进行</w:t>
      </w:r>
      <w:r>
        <w:rPr>
          <w:rFonts w:hint="eastAsia" w:ascii="仿宋_GB2312" w:eastAsia="仿宋_GB2312"/>
          <w:bCs/>
          <w:sz w:val="32"/>
          <w:szCs w:val="32"/>
        </w:rPr>
        <w:t>“双监控”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组织预算单位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绩效运行跟踪监控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545个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涉及当年预算资金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40.69亿元，占部门预算项目资金69.52%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。二是委托第三方机构重点跟踪监控项目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，涉及当年预算资金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6.88亿元。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强化全过程预算绩效管理，针对存在偏差的绩效目标提出改进措施，确保绩效目标顺利实现，促进财政预算均衡执行。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3" w:firstLineChars="200"/>
        <w:textAlignment w:val="auto"/>
        <w:rPr>
          <w:rFonts w:hint="eastAsia" w:ascii="楷体" w:hAnsi="楷体" w:eastAsia="楷体" w:cs="Arial"/>
          <w:b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Arial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Arial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Arial"/>
          <w:b/>
          <w:color w:val="auto"/>
          <w:sz w:val="32"/>
          <w:szCs w:val="32"/>
        </w:rPr>
        <w:t>）</w:t>
      </w:r>
      <w:r>
        <w:rPr>
          <w:rStyle w:val="13"/>
          <w:rFonts w:hint="eastAsia" w:ascii="楷体" w:hAnsi="楷体" w:eastAsia="楷体" w:cs="Arial"/>
          <w:color w:val="000000"/>
          <w:sz w:val="32"/>
          <w:szCs w:val="32"/>
          <w:lang w:val="en-US" w:eastAsia="zh-CN"/>
        </w:rPr>
        <w:t>推进</w:t>
      </w:r>
      <w:r>
        <w:rPr>
          <w:rFonts w:hint="eastAsia" w:ascii="楷体" w:hAnsi="楷体" w:eastAsia="楷体" w:cs="Arial"/>
          <w:b/>
          <w:color w:val="000000"/>
          <w:sz w:val="32"/>
          <w:szCs w:val="32"/>
        </w:rPr>
        <w:t>绩效评价</w:t>
      </w:r>
      <w:r>
        <w:rPr>
          <w:rFonts w:hint="eastAsia" w:ascii="楷体" w:hAnsi="楷体" w:eastAsia="楷体" w:cs="Arial"/>
          <w:b/>
          <w:color w:val="000000"/>
          <w:sz w:val="32"/>
          <w:szCs w:val="32"/>
          <w:lang w:eastAsia="zh-CN"/>
        </w:rPr>
        <w:t>扩围提质。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扩大绩效评价范围，增加绩效评价的项目覆盖面和资金量。一是组织预算单位对2019年度340个项目实施自评价，涉及财政资金51.48亿元，占2019年项目支出的88.54%，预算单位从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项目支出的经济性、效率性、效益性和公平性进行客观、公正的测量、分析和评判。二是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重点绩效评价稳步推进，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通过竞争性磋商方式和直接委托方式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对2019年度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个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重点和民生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重点绩效评价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，涉及财政资金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26.51亿元，占当年部门预算项目支出45.59%。三是着力提升绩效评价质量，对自评价报告严格审核，将自评价报告质量纳入财政重点评价指标体系，考核部门单位自评价质量；对中介机构的绩效评价报告组织专家进行评审，对评审发现问题以通报形式反馈中介机构，报告评审结果与评价服务费用挂钩，并做为下一年度绩效评价购买服务依据，规范中介机构绩效评价行为，提升绩效评价质量。</w:t>
      </w:r>
    </w:p>
    <w:p>
      <w:pPr>
        <w:numPr>
          <w:ilvl w:val="0"/>
          <w:numId w:val="0"/>
        </w:numPr>
        <w:spacing w:line="672" w:lineRule="exact"/>
        <w:ind w:firstLine="643" w:firstLineChars="200"/>
        <w:rPr>
          <w:rFonts w:hint="eastAsia" w:ascii="楷体" w:hAnsi="楷体" w:eastAsia="楷体" w:cs="Arial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Arial"/>
          <w:b/>
          <w:bCs/>
          <w:color w:val="000000"/>
          <w:sz w:val="32"/>
          <w:szCs w:val="32"/>
          <w:lang w:eastAsia="zh-CN"/>
        </w:rPr>
        <w:t>（六）继续</w:t>
      </w:r>
      <w:r>
        <w:rPr>
          <w:rFonts w:hint="eastAsia" w:ascii="楷体" w:hAnsi="楷体" w:eastAsia="楷体" w:cs="Arial"/>
          <w:b/>
          <w:bCs/>
          <w:color w:val="000000"/>
          <w:sz w:val="32"/>
          <w:szCs w:val="32"/>
        </w:rPr>
        <w:t>推进部门整体绩效评价试点</w:t>
      </w:r>
      <w:r>
        <w:rPr>
          <w:rFonts w:hint="eastAsia" w:ascii="楷体" w:hAnsi="楷体" w:eastAsia="楷体" w:cs="Arial"/>
          <w:b/>
          <w:bCs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72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根据市人大财经委实施预算审查要求，对市交通局、园林局、人力资源和社会保障局三个部门整体支出实施绩效评价。从2015年开始，我局已经连续六年开展了部门整体预算绩效评价试点工作，评价部门数量达到42个，占部门总数量48%。通过对部门整体绩效评价的探索推进，有效增强了预算部门对预算编制、执行、监督与绩效管理全过程管理的意识和能力，提高了财政资金使用效益，促进了预算部门更好地履职尽责。</w:t>
      </w:r>
    </w:p>
    <w:p>
      <w:pPr>
        <w:numPr>
          <w:ilvl w:val="0"/>
          <w:numId w:val="2"/>
        </w:numPr>
        <w:spacing w:line="672" w:lineRule="exact"/>
        <w:ind w:firstLine="643" w:firstLineChars="200"/>
        <w:rPr>
          <w:rFonts w:hint="eastAsia" w:ascii="楷体" w:hAnsi="楷体" w:eastAsia="楷体" w:cs="Arial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Arial"/>
          <w:b/>
          <w:bCs/>
          <w:color w:val="000000"/>
          <w:sz w:val="32"/>
          <w:szCs w:val="32"/>
          <w:highlight w:val="none"/>
        </w:rPr>
        <w:t>结果应用落在实处</w:t>
      </w:r>
      <w:r>
        <w:rPr>
          <w:rFonts w:hint="eastAsia" w:ascii="楷体" w:hAnsi="楷体" w:eastAsia="楷体" w:cs="Arial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672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着力提升绩效评价结果应用，建立报告、反馈机制和绩效评价结果与预算资金安排有机结合机制。通过召开反馈会，及时将评价结果向被评价单位和财政部门预算管理科室进行反馈。财政局部门预算管理科室将评价结果作为2021年度预算编制的依据，对评价级次良以上的，2021年申请项目预算优先予以考虑，对评价级次中以下的，2021年申请项目预算予以扣减，对项目未支付结余资金予以收回。向被评价部门和单位反馈绩效评价发现问题127条，整改和结果应用意见建议126条，各部门单位针对反馈意见和建议，积极整改落实，切实规范预算管理和项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Arial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Arial"/>
          <w:b/>
          <w:bCs/>
          <w:color w:val="000000"/>
          <w:sz w:val="32"/>
          <w:szCs w:val="32"/>
          <w:lang w:val="en-US" w:eastAsia="zh-CN"/>
        </w:rPr>
        <w:t>（八）</w:t>
      </w:r>
      <w:r>
        <w:rPr>
          <w:rFonts w:hint="eastAsia" w:ascii="楷体" w:hAnsi="楷体" w:eastAsia="楷体" w:cs="Arial"/>
          <w:b/>
          <w:bCs/>
          <w:color w:val="000000"/>
          <w:sz w:val="32"/>
          <w:szCs w:val="32"/>
        </w:rPr>
        <w:t>做好扶贫资金绩效管理</w:t>
      </w:r>
      <w:r>
        <w:rPr>
          <w:rFonts w:hint="eastAsia" w:ascii="楷体" w:hAnsi="楷体" w:eastAsia="楷体" w:cs="Arial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加强对扶贫资金的绩效监管，通过业务辅导、现场调研、微信群点对点指导等多种方式，组织指导全市扶贫项目资金绩效目标填报与自评价工作。并建立定期通报和审核反馈机制，对填报进度和审核发现问题及时反馈到项目单位，督促及时整改完善，提升扶贫资金绩效管理质量。2019年扶贫资金绩效自评价任务完成率100%。2020年扶贫资金绩效目标填报项目个数570个，涉及扶贫资金12.42亿元，绩效目标填报比例和审核比例均达100%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市本级一般公共预算</w:t>
      </w:r>
      <w:r>
        <w:rPr>
          <w:rFonts w:ascii="Times New Roman" w:hAnsi="Times New Roman" w:eastAsia="黑体" w:cs="Times New Roman"/>
          <w:sz w:val="32"/>
          <w:szCs w:val="32"/>
        </w:rPr>
        <w:t>“三公”经费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决算执行情况</w:t>
      </w:r>
      <w:r>
        <w:rPr>
          <w:rFonts w:ascii="Times New Roman" w:hAnsi="Times New Roman" w:eastAsia="黑体" w:cs="Times New Roman"/>
          <w:sz w:val="32"/>
          <w:szCs w:val="32"/>
        </w:rPr>
        <w:t>说明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年市本级行政事业单位财政拨款“三公”经费支出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2102.55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万元（包括基本支出和项目支出安排的经费），比预算数减少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563.44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万元，主要是有关部门严格执行“三公”经费只减不增要求，大力压减“三公”经费支出。其中：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万元，比预算数减少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万元；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372.74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万元，比预算数减少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338.61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万元；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1729.81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万元（其中：公务用车购置费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275.28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1454.53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万元），比预算减少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170.33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tbl>
      <w:tblPr>
        <w:tblStyle w:val="11"/>
        <w:tblW w:w="83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559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因公出国（境）费用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公务接待费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公务用车购置费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公务用车运行费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2102.55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372.74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275.28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1454.53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公开重大政策和重点项目绩效执行结果</w:t>
      </w:r>
    </w:p>
    <w:p>
      <w:pPr>
        <w:pStyle w:val="10"/>
        <w:ind w:left="958" w:leftChars="304" w:hanging="320" w:hangingChars="1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长治市本级2019年度财政支出项目重点绩效评价结果</w:t>
      </w:r>
    </w:p>
    <w:tbl>
      <w:tblPr>
        <w:tblStyle w:val="11"/>
        <w:tblW w:w="89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2118"/>
        <w:gridCol w:w="1345"/>
        <w:gridCol w:w="1280"/>
        <w:gridCol w:w="2535"/>
        <w:gridCol w:w="11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年度预算金额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评价机构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评价得分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市属特困企业职工和退休人员医疗保险市级配套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市医疗保险管理服务中心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839.49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山西九恒工程项目管理有限公司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97.70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路灯及亮化电费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市照明管理中心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山西屯留恒信审计事务所有限公司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95.75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五针街铁路立交桥配套工程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市政管理中心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长治市财政投资评审中心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90.50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2019年公安交通省级补助管理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市公安交警支队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山西勤信会计师事务所有限公司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89.54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长治市殡仪馆迁建前期费项目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市殡仪改革管理中心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山西晋才会计师事务所有限公司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88.60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职教园区周边道路建设工程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长治市财政投资评审中心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87.20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第二十中周边道路工程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市政管理中心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1898.68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山西天正会计师事务所有限公司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87.08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2019年重大传染病防控经费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158.60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山西晋才会计师事务所有限公司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86.04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残疾人就业培训费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市残疾人就业服务中心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山西万佳立信资产评估有限公司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85.21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经开区基础设施建设与维护项目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长治经济技术开发区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山西万佳立信资产评估有限公司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84.62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道路维护费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市政管理中心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山西屯留恒信审计事务所有限公司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84.35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2019年中小学课后服务费及班主任津贴经费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406.09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山西奥杰资产评估有限公司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83.70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长治市农业农村局及各县区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山西中汇资产评估有限公司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83.46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主城区视频监控与报警综合管理系统建设资金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1576.91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山西勤信会计师事务所有限公司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82.92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航空护林费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市规划与自然资源局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长治市佳信资产评估财务咨询有限公司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82.25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城市公立医院改革药品耗材零差率销售补助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山西华普绩效管理咨询有限公司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81.49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2019年公共实训基地建设专项中央基建投资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长治市技师学院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山西九恒工程项目管理有限公司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农村合作社专项资金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市农村合作经济经营管理局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长治中瑞会计师事务所有限公司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80.90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国有企业改革清产核资费用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市工业和信息化局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山西奥杰资产评估有限公司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80.69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农村老年人日间照料中心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山西永义会计师事务所有限公司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80.40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幼儿师范专科学校配套费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幼师专科学校筹备组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山西奥杰资产评估有限公司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79.10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英雄南路雨水泵站建设工程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长治市财政投资评审中心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78.02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村卫生所药品零差率销售补助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423.90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山西永义会计师事务所有限公司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76.93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排污权交易购买服务经费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山西天正会计师事务所有限公司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74.05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关家脑、黄崖洞保卫战、长乐村战斗遗址等现场教学点升级改造费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太行干部学院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山西中汇资产评估有限公司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73.73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大罗村应急垃圾填埋场建设工程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长治市财政投资评审中心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73.50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2018、2019年供销社乡村振兴战略资金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市供销合作社联合社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山西屯留恒信审计事务所有限公司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72.31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长治市不动产登记存量数据整合项目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市不动产登记中心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长治市佳信资产评估财务咨询有限公司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72.06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长治市多规合一暨城市总体规划编制费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市发展和改革委员会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1663.00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长治市诚信资产评估有限公司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人防指挥中心建设双电源改造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市人民防空办公室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长治市佳信资产评估财务咨询有限公司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64.05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粮库智能化升级改造项目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市发展和改革委员会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114.20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长治市诚信资产评估有限公司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61.50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34962.87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80.82 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D6FA97"/>
    <w:multiLevelType w:val="singleLevel"/>
    <w:tmpl w:val="FCD6FA97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B607578"/>
    <w:multiLevelType w:val="singleLevel"/>
    <w:tmpl w:val="6B60757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CE274D2"/>
    <w:multiLevelType w:val="singleLevel"/>
    <w:tmpl w:val="7CE274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7200E55"/>
    <w:rsid w:val="17555AC8"/>
    <w:rsid w:val="29170D06"/>
    <w:rsid w:val="2B9A0577"/>
    <w:rsid w:val="2EB75CFC"/>
    <w:rsid w:val="30CB2D2A"/>
    <w:rsid w:val="39923B15"/>
    <w:rsid w:val="58F87054"/>
    <w:rsid w:val="62076C3F"/>
    <w:rsid w:val="68626E3E"/>
    <w:rsid w:val="71D20853"/>
    <w:rsid w:val="72045C56"/>
    <w:rsid w:val="7D746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character" w:customStyle="1" w:styleId="16">
    <w:name w:val="批注框文本 Char Char"/>
    <w:basedOn w:val="12"/>
    <w:link w:val="7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 Char Char"/>
    <w:basedOn w:val="12"/>
    <w:link w:val="8"/>
    <w:qFormat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6520</Words>
  <Characters>1474</Characters>
  <Lines>12</Lines>
  <Paragraphs>15</Paragraphs>
  <TotalTime>5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2017-04-01T03:15:00Z</dcterms:created>
  <dc:creator>null,null,预算公开</dc:creator>
  <cp:lastModifiedBy>Administrator</cp:lastModifiedBy>
  <cp:lastPrinted>2021-07-09T08:10:00Z</cp:lastPrinted>
  <dcterms:modified xsi:type="dcterms:W3CDTF">2022-08-30T03:37:53Z</dcterms:modified>
  <dc:title>2019年政府决算公开相关说明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