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2750">
      <w:pPr>
        <w:rPr>
          <w:rFonts w:hint="eastAsia" w:ascii="仿宋" w:hAnsi="仿宋" w:eastAsia="仿宋" w:cs="仿宋"/>
          <w:sz w:val="32"/>
          <w:szCs w:val="32"/>
        </w:rPr>
      </w:pPr>
    </w:p>
    <w:p w14:paraId="407C3D9B">
      <w:pPr>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文件解读</w:t>
      </w:r>
    </w:p>
    <w:p w14:paraId="2E5EB343">
      <w:pPr>
        <w:rPr>
          <w:rFonts w:hint="eastAsia" w:ascii="仿宋" w:hAnsi="仿宋" w:eastAsia="仿宋" w:cs="仿宋"/>
          <w:sz w:val="32"/>
          <w:szCs w:val="32"/>
          <w:lang w:val="en-US" w:eastAsia="zh-CN"/>
        </w:rPr>
      </w:pPr>
    </w:p>
    <w:p w14:paraId="2C310422">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文件事由：</w:t>
      </w:r>
      <w:r>
        <w:rPr>
          <w:rFonts w:hint="eastAsia" w:ascii="仿宋" w:hAnsi="仿宋" w:eastAsia="仿宋" w:cs="仿宋"/>
          <w:sz w:val="32"/>
          <w:szCs w:val="32"/>
          <w:lang w:val="en-US" w:eastAsia="zh-CN"/>
        </w:rPr>
        <w:t>《关于中国石化销售股份有限公司山西长治长子石油分公司东关加油站等企业许可证延期、颁发许可证的通知》，依据《危险化学品经营许可证管理办法》第十一条、第十五条；《非煤矿矿山企业安全生产许可证实施办法》第十七条、第二十二条等法律法规，市应急管理局收到企业申请后，及时组织县区应急管理部门和行业专家进行资料审核和现场核查，并要求企业对现场核查发现问题进行限期整改，整改后由县区应急管理部门进行核查闭环。符合许可条件，依法予以许可。</w:t>
      </w:r>
    </w:p>
    <w:p w14:paraId="4F185021">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解读依据：</w:t>
      </w:r>
      <w:r>
        <w:rPr>
          <w:rFonts w:hint="eastAsia" w:ascii="仿宋" w:hAnsi="仿宋" w:eastAsia="仿宋" w:cs="仿宋"/>
          <w:sz w:val="32"/>
          <w:szCs w:val="32"/>
          <w:lang w:val="en-US" w:eastAsia="zh-CN"/>
        </w:rPr>
        <w:t>《安全生产法》、《安全生产许可证</w:t>
      </w:r>
      <w:bookmarkStart w:id="0" w:name="_GoBack"/>
      <w:bookmarkEnd w:id="0"/>
      <w:r>
        <w:rPr>
          <w:rFonts w:hint="eastAsia" w:ascii="仿宋" w:hAnsi="仿宋" w:eastAsia="仿宋" w:cs="仿宋"/>
          <w:sz w:val="32"/>
          <w:szCs w:val="32"/>
          <w:lang w:val="en-US" w:eastAsia="zh-CN"/>
        </w:rPr>
        <w:t>条例》、《危险化学品安全管理条例》、《危险化学品经营许可证管理办法》、《非煤矿矿山企业安全生产许可证实施办法》。</w:t>
      </w:r>
    </w:p>
    <w:p w14:paraId="3BFCEBE8">
      <w:pPr>
        <w:rPr>
          <w:rFonts w:hint="eastAsia" w:ascii="仿宋" w:hAnsi="仿宋" w:eastAsia="仿宋" w:cs="仿宋"/>
          <w:sz w:val="32"/>
          <w:szCs w:val="32"/>
        </w:rPr>
      </w:pPr>
    </w:p>
    <w:p w14:paraId="5A2735C2">
      <w:pPr>
        <w:rPr>
          <w:rFonts w:hint="eastAsia" w:ascii="仿宋" w:hAnsi="仿宋" w:eastAsia="仿宋" w:cs="仿宋"/>
          <w:sz w:val="32"/>
          <w:szCs w:val="32"/>
        </w:rPr>
      </w:pPr>
    </w:p>
    <w:p w14:paraId="47EC3F29">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ODFmZTdhMjdhYTQzMTViMzkxZWE0NGFiZDkwZjQifQ=="/>
  </w:docVars>
  <w:rsids>
    <w:rsidRoot w:val="53BC264A"/>
    <w:rsid w:val="4C1078FD"/>
    <w:rsid w:val="50E94C1F"/>
    <w:rsid w:val="53BC264A"/>
    <w:rsid w:val="6AB42B37"/>
    <w:rsid w:val="6CFA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296</Characters>
  <Lines>0</Lines>
  <Paragraphs>0</Paragraphs>
  <TotalTime>0</TotalTime>
  <ScaleCrop>false</ScaleCrop>
  <LinksUpToDate>false</LinksUpToDate>
  <CharactersWithSpaces>304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2022-05-11T07:54:00Z</dcterms:created>
  <dc:creator>申有才</dc:creator>
  <cp:lastModifiedBy>dell</cp:lastModifiedBy>
  <dcterms:modified xsi:type="dcterms:W3CDTF">2024-07-23T01:12:04Z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BE426BF3ACCA4538B6AD28194007BE63</vt:lpwstr>
  </property>
</Properties>
</file>