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78F3C" w14:textId="77777777" w:rsidR="00E85672" w:rsidRDefault="00000000">
      <w:pPr>
        <w:rPr>
          <w:rFonts w:ascii="黑体" w:eastAsia="黑体" w:hAnsi="黑体" w:cs="黑体" w:hint="eastAsia"/>
          <w:sz w:val="32"/>
          <w:szCs w:val="32"/>
        </w:rPr>
      </w:pPr>
      <w:r>
        <w:rPr>
          <w:rFonts w:ascii="黑体" w:eastAsia="黑体" w:hAnsi="黑体" w:cs="黑体" w:hint="eastAsia"/>
          <w:sz w:val="32"/>
          <w:szCs w:val="32"/>
        </w:rPr>
        <w:t>附件3</w:t>
      </w:r>
    </w:p>
    <w:p w14:paraId="463405DD" w14:textId="77777777" w:rsidR="00E85672" w:rsidRDefault="00E85672">
      <w:pPr>
        <w:spacing w:line="600" w:lineRule="exact"/>
        <w:rPr>
          <w:rFonts w:ascii="方正小标宋简体" w:eastAsia="方正小标宋简体" w:hAnsi="方正小标宋简体" w:cs="方正小标宋简体" w:hint="eastAsia"/>
          <w:sz w:val="44"/>
          <w:szCs w:val="44"/>
        </w:rPr>
      </w:pPr>
    </w:p>
    <w:p w14:paraId="7473C6E1" w14:textId="77777777" w:rsidR="00E85672" w:rsidRDefault="0000000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部分不合格检验项目小知识</w:t>
      </w:r>
    </w:p>
    <w:p w14:paraId="0579A59A" w14:textId="77777777" w:rsidR="00E85672" w:rsidRDefault="00E85672">
      <w:pPr>
        <w:spacing w:line="600" w:lineRule="exact"/>
        <w:ind w:firstLineChars="200" w:firstLine="640"/>
        <w:jc w:val="center"/>
        <w:rPr>
          <w:rFonts w:ascii="仿宋" w:eastAsia="仿宋" w:hAnsi="仿宋" w:cs="仿宋" w:hint="eastAsia"/>
          <w:sz w:val="32"/>
          <w:szCs w:val="32"/>
        </w:rPr>
      </w:pPr>
    </w:p>
    <w:p w14:paraId="3ABCAD46" w14:textId="6C6D5AFB" w:rsidR="00E85672"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一、</w:t>
      </w:r>
      <w:r w:rsidR="006B74C7" w:rsidRPr="006B74C7">
        <w:rPr>
          <w:rFonts w:ascii="黑体" w:eastAsia="黑体" w:hAnsi="黑体" w:cs="黑体" w:hint="eastAsia"/>
          <w:sz w:val="32"/>
          <w:szCs w:val="32"/>
        </w:rPr>
        <w:t>二氧化硫残留量</w:t>
      </w:r>
    </w:p>
    <w:p w14:paraId="060B9FE1" w14:textId="6E4CD33B" w:rsidR="00E85672" w:rsidRDefault="006B74C7" w:rsidP="000930B3">
      <w:pPr>
        <w:ind w:firstLineChars="200" w:firstLine="640"/>
        <w:rPr>
          <w:rFonts w:ascii="仿宋" w:eastAsia="仿宋" w:hAnsi="仿宋" w:cs="仿宋"/>
          <w:sz w:val="32"/>
          <w:szCs w:val="32"/>
        </w:rPr>
      </w:pPr>
      <w:r w:rsidRPr="006B74C7">
        <w:rPr>
          <w:rFonts w:ascii="仿宋" w:eastAsia="仿宋" w:hAnsi="仿宋" w:cs="仿宋"/>
          <w:sz w:val="32"/>
          <w:szCs w:val="32"/>
        </w:rPr>
        <w:t>二氧化硫是食品加工中常用的漂白剂和防腐剂，具有漂 白、防腐和抗氧化作用。少量二氧化硫进入人体不会对身体 健康造成危害，但过量食用会引起如恶心、呕吐等胃肠道反 应。《食品安全国家标准 食品添加剂使用标准》（GB 2760-2014）中规定，二氧化硫（以二氧化硫残留量计）在龙眼中最大残留量为0.05g/kg。二氧化硫残留量超标的原因，可能是由于使用硫磺熏蒸漂白这种传统工艺或直接使用亚硫酸盐浸泡所造成。</w:t>
      </w:r>
    </w:p>
    <w:p w14:paraId="17E3D0DC" w14:textId="076BE0A5" w:rsidR="006B74C7" w:rsidRDefault="006B74C7" w:rsidP="006B74C7">
      <w:pPr>
        <w:ind w:firstLineChars="200" w:firstLine="640"/>
        <w:rPr>
          <w:rFonts w:ascii="黑体" w:eastAsia="黑体" w:hAnsi="黑体" w:cs="黑体" w:hint="eastAsia"/>
          <w:sz w:val="32"/>
          <w:szCs w:val="32"/>
        </w:rPr>
      </w:pPr>
      <w:r>
        <w:rPr>
          <w:rFonts w:ascii="黑体" w:eastAsia="黑体" w:hAnsi="黑体" w:cs="黑体" w:hint="eastAsia"/>
          <w:sz w:val="32"/>
          <w:szCs w:val="32"/>
        </w:rPr>
        <w:t>二</w:t>
      </w:r>
      <w:r>
        <w:rPr>
          <w:rFonts w:ascii="黑体" w:eastAsia="黑体" w:hAnsi="黑体" w:cs="黑体" w:hint="eastAsia"/>
          <w:sz w:val="32"/>
          <w:szCs w:val="32"/>
        </w:rPr>
        <w:t>、</w:t>
      </w:r>
      <w:r w:rsidR="009F0DDE" w:rsidRPr="009F0DDE">
        <w:rPr>
          <w:rFonts w:ascii="黑体" w:eastAsia="黑体" w:hAnsi="黑体" w:cs="黑体" w:hint="eastAsia"/>
          <w:sz w:val="32"/>
          <w:szCs w:val="32"/>
        </w:rPr>
        <w:t>咪鲜胺和咪鲜胺锰盐</w:t>
      </w:r>
    </w:p>
    <w:p w14:paraId="6FC37D33" w14:textId="5095CE04" w:rsidR="006B74C7" w:rsidRDefault="006B74C7" w:rsidP="006B74C7">
      <w:pPr>
        <w:ind w:firstLineChars="200" w:firstLine="640"/>
        <w:rPr>
          <w:rFonts w:ascii="仿宋" w:eastAsia="仿宋" w:hAnsi="仿宋" w:cs="仿宋"/>
          <w:sz w:val="32"/>
          <w:szCs w:val="32"/>
        </w:rPr>
      </w:pPr>
      <w:r w:rsidRPr="006B74C7">
        <w:rPr>
          <w:rFonts w:ascii="仿宋" w:eastAsia="仿宋" w:hAnsi="仿宋" w:cs="仿宋"/>
          <w:sz w:val="32"/>
          <w:szCs w:val="32"/>
        </w:rPr>
        <w:t>咪鲜胺是一种广谱高效杀菌剂,少量的农药残留不会引起人体急性中毒,但长期食用咪鲜胺超标的食品,对人体健康可能有一定影响。《食品安全国家标准 食品中农药最大残留限量》(GB 2763-2021)中规定,咪鲜胺和咪鲜胺锰盐在山药中的最大残留限量值为0.3mg/kg。山药中咪鲜胺残留量超标的原因,可能是农户为快速控制病害而加大用药量,也可能是未遵守采摘间隔期规定,致使上市销售的产品中残留量超标。</w:t>
      </w:r>
    </w:p>
    <w:p w14:paraId="32BF442D" w14:textId="16E612D0" w:rsidR="006B74C7" w:rsidRDefault="006B74C7" w:rsidP="006B74C7">
      <w:pPr>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三</w:t>
      </w:r>
      <w:r>
        <w:rPr>
          <w:rFonts w:ascii="黑体" w:eastAsia="黑体" w:hAnsi="黑体" w:cs="黑体" w:hint="eastAsia"/>
          <w:sz w:val="32"/>
          <w:szCs w:val="32"/>
        </w:rPr>
        <w:t>、</w:t>
      </w:r>
      <w:r w:rsidR="009F0DDE" w:rsidRPr="009F0DDE">
        <w:rPr>
          <w:rFonts w:ascii="黑体" w:eastAsia="黑体" w:hAnsi="黑体" w:cs="黑体" w:hint="eastAsia"/>
          <w:sz w:val="32"/>
          <w:szCs w:val="32"/>
        </w:rPr>
        <w:t>涕灭威</w:t>
      </w:r>
    </w:p>
    <w:p w14:paraId="0F4A5C30" w14:textId="027243F3" w:rsidR="006B74C7" w:rsidRDefault="006B74C7" w:rsidP="006B74C7">
      <w:pPr>
        <w:ind w:firstLineChars="200" w:firstLine="640"/>
        <w:rPr>
          <w:rFonts w:ascii="仿宋" w:eastAsia="仿宋" w:hAnsi="仿宋" w:cs="仿宋"/>
          <w:sz w:val="32"/>
          <w:szCs w:val="32"/>
        </w:rPr>
      </w:pPr>
      <w:r w:rsidRPr="006B74C7">
        <w:rPr>
          <w:rFonts w:ascii="仿宋" w:eastAsia="仿宋" w:hAnsi="仿宋" w:cs="仿宋"/>
          <w:sz w:val="32"/>
          <w:szCs w:val="32"/>
        </w:rPr>
        <w:t>涕灭威是一种氨基甲酸酯类杀虫、杀螨、杀线虫剂,具有触杀、胃毒、</w:t>
      </w:r>
      <w:r>
        <w:rPr>
          <w:rFonts w:ascii="仿宋" w:eastAsia="仿宋" w:hAnsi="仿宋" w:cs="仿宋" w:hint="eastAsia"/>
          <w:sz w:val="32"/>
          <w:szCs w:val="32"/>
        </w:rPr>
        <w:t>内</w:t>
      </w:r>
      <w:r w:rsidRPr="006B74C7">
        <w:rPr>
          <w:rFonts w:ascii="仿宋" w:eastAsia="仿宋" w:hAnsi="仿宋" w:cs="仿宋"/>
          <w:sz w:val="32"/>
          <w:szCs w:val="32"/>
        </w:rPr>
        <w:t>吸作用。涕灭威中毒后可能出现头痛、头晕、恶心、视力昏花、胸部烦闷、呕吐等症状。</w:t>
      </w:r>
      <w:r w:rsidRPr="006B74C7">
        <w:rPr>
          <w:rFonts w:ascii="Calibri" w:eastAsia="仿宋" w:hAnsi="Calibri" w:cs="Calibri"/>
          <w:sz w:val="32"/>
          <w:szCs w:val="32"/>
        </w:rPr>
        <w:t> </w:t>
      </w:r>
      <w:r w:rsidRPr="006B74C7">
        <w:rPr>
          <w:rFonts w:ascii="仿宋" w:eastAsia="仿宋" w:hAnsi="仿宋" w:cs="仿宋"/>
          <w:sz w:val="32"/>
          <w:szCs w:val="32"/>
        </w:rPr>
        <w:t>山药中涕灭威残留量超标的原因,可能是菜农为控制病情不遵守休药期规定,致使上市销售时产品中的药物残留量未降解至标准限量以下。</w:t>
      </w:r>
    </w:p>
    <w:p w14:paraId="1858AF3C" w14:textId="79DAE3C1" w:rsidR="006B74C7" w:rsidRDefault="006B74C7" w:rsidP="006B74C7">
      <w:pPr>
        <w:ind w:firstLineChars="200" w:firstLine="640"/>
        <w:rPr>
          <w:rFonts w:ascii="黑体" w:eastAsia="黑体" w:hAnsi="黑体" w:cs="黑体" w:hint="eastAsia"/>
          <w:sz w:val="32"/>
          <w:szCs w:val="32"/>
        </w:rPr>
      </w:pPr>
      <w:r>
        <w:rPr>
          <w:rFonts w:ascii="黑体" w:eastAsia="黑体" w:hAnsi="黑体" w:cs="黑体" w:hint="eastAsia"/>
          <w:sz w:val="32"/>
          <w:szCs w:val="32"/>
        </w:rPr>
        <w:t>四</w:t>
      </w:r>
      <w:r>
        <w:rPr>
          <w:rFonts w:ascii="黑体" w:eastAsia="黑体" w:hAnsi="黑体" w:cs="黑体" w:hint="eastAsia"/>
          <w:sz w:val="32"/>
          <w:szCs w:val="32"/>
        </w:rPr>
        <w:t>、</w:t>
      </w:r>
      <w:r w:rsidR="009F0DDE" w:rsidRPr="009F0DDE">
        <w:rPr>
          <w:rFonts w:ascii="黑体" w:eastAsia="黑体" w:hAnsi="黑体" w:cs="黑体" w:hint="eastAsia"/>
          <w:sz w:val="32"/>
          <w:szCs w:val="32"/>
        </w:rPr>
        <w:t>恩诺沙星</w:t>
      </w:r>
    </w:p>
    <w:p w14:paraId="08EA73E6" w14:textId="3DD7444E" w:rsidR="006B74C7" w:rsidRDefault="006B74C7" w:rsidP="006B74C7">
      <w:pPr>
        <w:ind w:firstLineChars="200" w:firstLine="640"/>
        <w:rPr>
          <w:rFonts w:ascii="仿宋" w:eastAsia="仿宋" w:hAnsi="仿宋" w:cs="仿宋"/>
          <w:sz w:val="32"/>
          <w:szCs w:val="32"/>
        </w:rPr>
      </w:pPr>
      <w:r w:rsidRPr="006B74C7">
        <w:rPr>
          <w:rFonts w:ascii="仿宋" w:eastAsia="仿宋" w:hAnsi="仿宋" w:cs="仿宋"/>
          <w:sz w:val="32"/>
          <w:szCs w:val="32"/>
        </w:rPr>
        <w:t>恩诺沙星属第三代喹诺酮类药物，是一类人工合成的广 谱抗菌药，用于治疗动物的皮肤感染、呼吸道感染等，是动 物专属用药。长期食用恩诺沙星超标的食品，可能导致在人 体中蓄积，进而对人体机能产生危害，还可能使人体产生耐 药性菌株。《食品中兽药最大残留限量》(GB 31650-2019)中规定,恩诺沙星在猪肉中的限值为</w:t>
      </w:r>
      <w:r w:rsidRPr="006B74C7">
        <w:rPr>
          <w:rFonts w:ascii="仿宋" w:eastAsia="仿宋" w:hAnsi="仿宋" w:cs="仿宋"/>
          <w:b/>
          <w:bCs/>
          <w:sz w:val="32"/>
          <w:szCs w:val="32"/>
        </w:rPr>
        <w:t>≤100μg/kg</w:t>
      </w:r>
      <w:r w:rsidRPr="006B74C7">
        <w:rPr>
          <w:rFonts w:ascii="Calibri" w:eastAsia="仿宋" w:hAnsi="Calibri" w:cs="Calibri"/>
          <w:sz w:val="32"/>
          <w:szCs w:val="32"/>
        </w:rPr>
        <w:t> </w:t>
      </w:r>
      <w:r w:rsidRPr="006B74C7">
        <w:rPr>
          <w:rFonts w:ascii="仿宋" w:eastAsia="仿宋" w:hAnsi="仿宋" w:cs="仿宋"/>
          <w:sz w:val="32"/>
          <w:szCs w:val="32"/>
        </w:rPr>
        <w:t>。猪肉中恩诺沙星超标的原因可能是养殖户不规范的使用兽药,并不严格遵守休药期的规定。</w:t>
      </w:r>
    </w:p>
    <w:p w14:paraId="0BCCCB13" w14:textId="621005DE" w:rsidR="006B74C7" w:rsidRDefault="006B74C7" w:rsidP="006B74C7">
      <w:pPr>
        <w:ind w:firstLineChars="200" w:firstLine="640"/>
        <w:rPr>
          <w:rFonts w:ascii="黑体" w:eastAsia="黑体" w:hAnsi="黑体" w:cs="黑体" w:hint="eastAsia"/>
          <w:sz w:val="32"/>
          <w:szCs w:val="32"/>
        </w:rPr>
      </w:pPr>
      <w:r w:rsidRPr="006B74C7">
        <w:rPr>
          <w:rFonts w:ascii="黑体" w:eastAsia="黑体" w:hAnsi="黑体" w:cs="黑体" w:hint="eastAsia"/>
          <w:sz w:val="32"/>
          <w:szCs w:val="32"/>
        </w:rPr>
        <w:t>五</w:t>
      </w:r>
      <w:r>
        <w:rPr>
          <w:rFonts w:ascii="黑体" w:eastAsia="黑体" w:hAnsi="黑体" w:cs="黑体" w:hint="eastAsia"/>
          <w:sz w:val="32"/>
          <w:szCs w:val="32"/>
        </w:rPr>
        <w:t>、</w:t>
      </w:r>
      <w:r w:rsidR="009F0DDE" w:rsidRPr="009F0DDE">
        <w:rPr>
          <w:rFonts w:ascii="黑体" w:eastAsia="黑体" w:hAnsi="黑体" w:cs="黑体" w:hint="eastAsia"/>
          <w:sz w:val="32"/>
          <w:szCs w:val="32"/>
        </w:rPr>
        <w:t>地塞米松</w:t>
      </w:r>
    </w:p>
    <w:p w14:paraId="4EBD9580" w14:textId="4508E482" w:rsidR="006B74C7" w:rsidRPr="006B74C7" w:rsidRDefault="006B74C7" w:rsidP="006B74C7">
      <w:pPr>
        <w:ind w:firstLineChars="200" w:firstLine="640"/>
        <w:rPr>
          <w:rFonts w:ascii="仿宋" w:eastAsia="仿宋" w:hAnsi="仿宋" w:cs="仿宋" w:hint="eastAsia"/>
          <w:sz w:val="32"/>
          <w:szCs w:val="32"/>
        </w:rPr>
      </w:pPr>
      <w:r w:rsidRPr="006B74C7">
        <w:rPr>
          <w:rFonts w:ascii="仿宋" w:eastAsia="仿宋" w:hAnsi="仿宋" w:cs="仿宋"/>
          <w:sz w:val="32"/>
          <w:szCs w:val="32"/>
        </w:rPr>
        <w:t>地塞米松又名氟美松、氟甲强的松龙、德沙美松，为糖 皮质类激素，可以用于畜禽细菌感染性疾病、局部炎症的综 合治疗。具有抗炎、抗休克等药理作用。按《食品中兽药最 大残留限量》（GB 31650-2019）中规定，地塞米松在猪肉中 的残留量≤1.0μg/kg。猪肉中地塞米松超标的原因可能</w:t>
      </w:r>
      <w:r w:rsidRPr="006B74C7">
        <w:rPr>
          <w:rFonts w:ascii="仿宋" w:eastAsia="仿宋" w:hAnsi="仿宋" w:cs="仿宋"/>
          <w:sz w:val="32"/>
          <w:szCs w:val="32"/>
        </w:rPr>
        <w:lastRenderedPageBreak/>
        <w:t>是养殖户不规范使用兽药、不严格遵守休药期规定。长期食用地塞米松超标的食品可能会增加患高血压和糖尿病的风险。</w:t>
      </w:r>
    </w:p>
    <w:sectPr w:rsidR="006B74C7" w:rsidRPr="006B7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B1365"/>
    <w:multiLevelType w:val="multilevel"/>
    <w:tmpl w:val="275B1365"/>
    <w:lvl w:ilvl="0">
      <w:start w:val="1"/>
      <w:numFmt w:val="decimal"/>
      <w:suff w:val="space"/>
      <w:lvlText w:val="%1"/>
      <w:lvlJc w:val="left"/>
      <w:pPr>
        <w:ind w:left="5812" w:hanging="425"/>
      </w:pPr>
      <w:rPr>
        <w:rFonts w:hint="eastAsia"/>
        <w:color w:val="auto"/>
        <w:sz w:val="32"/>
        <w:szCs w:val="32"/>
      </w:rPr>
    </w:lvl>
    <w:lvl w:ilvl="1">
      <w:start w:val="1"/>
      <w:numFmt w:val="decimal"/>
      <w:pStyle w:val="A"/>
      <w:suff w:val="space"/>
      <w:lvlText w:val="%1.%2"/>
      <w:lvlJc w:val="left"/>
      <w:pPr>
        <w:ind w:left="709" w:hanging="567"/>
      </w:pPr>
      <w:rPr>
        <w:b/>
        <w:bCs w:val="0"/>
        <w:i w:val="0"/>
        <w:iCs w:val="0"/>
        <w:caps w:val="0"/>
        <w:smallCaps w:val="0"/>
        <w:strike w:val="0"/>
        <w:dstrike w:val="0"/>
        <w:vanish w:val="0"/>
        <w:spacing w:val="0"/>
        <w:position w:val="0"/>
        <w:sz w:val="30"/>
        <w:szCs w:val="3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suff w:val="space"/>
      <w:lvlText w:val="%1.%2.%3"/>
      <w:lvlJc w:val="left"/>
      <w:pPr>
        <w:ind w:left="2268" w:hanging="1701"/>
      </w:pPr>
      <w:rPr>
        <w:rFonts w:ascii="Times New Roman" w:hAnsi="Times New Roman" w:cs="Times New Roman" w:hint="default"/>
        <w:b/>
        <w:bCs/>
        <w:i w:val="0"/>
        <w:iCs w:val="0"/>
        <w:caps w:val="0"/>
        <w:smallCaps w:val="0"/>
        <w:strike w:val="0"/>
        <w:dstrike w:val="0"/>
        <w:vanish w:val="0"/>
        <w:color w:val="auto"/>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space"/>
      <w:lvlText w:val="%1.%2.%3.%4"/>
      <w:lvlJc w:val="left"/>
      <w:pPr>
        <w:ind w:left="1247" w:hanging="397"/>
      </w:pPr>
      <w:rPr>
        <w:rFonts w:ascii="Times New Roman" w:hAnsi="Times New Roman" w:cs="Times New Roman" w:hint="eastAsia"/>
        <w:b/>
        <w:bCs w:val="0"/>
        <w:i w:val="0"/>
        <w:iCs w:val="0"/>
        <w:caps w:val="0"/>
        <w:smallCaps w:val="0"/>
        <w:strike w:val="0"/>
        <w:dstrike w:val="0"/>
        <w:vanish w:val="0"/>
        <w:color w:val="000000"/>
        <w:spacing w:val="0"/>
        <w:position w:val="0"/>
        <w:sz w:val="24"/>
        <w:szCs w:val="24"/>
        <w:u w:val="none"/>
        <w:vertAlign w:val="baseline"/>
        <w14:shadow w14:blurRad="0" w14:dist="0" w14:dir="0" w14:sx="0" w14:sy="0" w14:kx="0" w14:ky="0" w14:algn="none">
          <w14:srgbClr w14:val="000000"/>
        </w14:shadow>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num w:numId="1" w16cid:durableId="27159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RhN2FhNmU0YjgzMTMxNmUyZjA1ZTYwOTY3MzE3ZDkifQ=="/>
  </w:docVars>
  <w:rsids>
    <w:rsidRoot w:val="6A952CDD"/>
    <w:rsid w:val="000930B3"/>
    <w:rsid w:val="00122B39"/>
    <w:rsid w:val="00386423"/>
    <w:rsid w:val="006B74C7"/>
    <w:rsid w:val="00801865"/>
    <w:rsid w:val="009F0DDE"/>
    <w:rsid w:val="00DA5C53"/>
    <w:rsid w:val="00E85672"/>
    <w:rsid w:val="00FA26F8"/>
    <w:rsid w:val="00FA5DF1"/>
    <w:rsid w:val="0BB96183"/>
    <w:rsid w:val="132D60B6"/>
    <w:rsid w:val="18E15979"/>
    <w:rsid w:val="19A0363D"/>
    <w:rsid w:val="23F92512"/>
    <w:rsid w:val="2C082CDA"/>
    <w:rsid w:val="2D4F24F1"/>
    <w:rsid w:val="426E5C20"/>
    <w:rsid w:val="42CD2C44"/>
    <w:rsid w:val="44D53D34"/>
    <w:rsid w:val="4D6A59E2"/>
    <w:rsid w:val="53FE20BB"/>
    <w:rsid w:val="5A377A46"/>
    <w:rsid w:val="63497970"/>
    <w:rsid w:val="67D77C0C"/>
    <w:rsid w:val="6A952CDD"/>
    <w:rsid w:val="6AC772CF"/>
    <w:rsid w:val="6E850A6B"/>
    <w:rsid w:val="7BC10D8C"/>
    <w:rsid w:val="7FAD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002AE"/>
  <w15:docId w15:val="{E0693655-2C91-4A1D-9288-B553B291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autoRedefine/>
    <w:qFormat/>
    <w:pPr>
      <w:spacing w:after="120"/>
      <w:ind w:leftChars="200" w:left="420"/>
    </w:pPr>
  </w:style>
  <w:style w:type="paragraph" w:styleId="a5">
    <w:name w:val="Normal (Web)"/>
    <w:basedOn w:val="a0"/>
    <w:pPr>
      <w:spacing w:beforeAutospacing="1" w:afterAutospacing="1"/>
      <w:jc w:val="left"/>
    </w:pPr>
    <w:rPr>
      <w:kern w:val="0"/>
      <w:sz w:val="24"/>
    </w:rPr>
  </w:style>
  <w:style w:type="paragraph" w:styleId="2">
    <w:name w:val="Body Text First Indent 2"/>
    <w:basedOn w:val="a4"/>
    <w:autoRedefine/>
    <w:qFormat/>
    <w:pPr>
      <w:adjustRightInd w:val="0"/>
      <w:ind w:leftChars="0" w:left="0" w:firstLineChars="200" w:firstLine="880"/>
    </w:pPr>
    <w:rPr>
      <w:rFonts w:ascii="Calibri" w:eastAsia="仿宋" w:hAnsi="Calibri"/>
      <w:sz w:val="32"/>
    </w:rPr>
  </w:style>
  <w:style w:type="paragraph" w:customStyle="1" w:styleId="A6">
    <w:name w:val="A正文"/>
    <w:autoRedefine/>
    <w:uiPriority w:val="99"/>
    <w:qFormat/>
    <w:pPr>
      <w:spacing w:line="360" w:lineRule="auto"/>
    </w:pPr>
    <w:rPr>
      <w:rFonts w:eastAsia="华文中宋"/>
      <w:kern w:val="2"/>
      <w:sz w:val="24"/>
      <w:szCs w:val="48"/>
    </w:rPr>
  </w:style>
  <w:style w:type="paragraph" w:customStyle="1" w:styleId="A">
    <w:name w:val="A二级"/>
    <w:basedOn w:val="a0"/>
    <w:qFormat/>
    <w:pPr>
      <w:numPr>
        <w:ilvl w:val="1"/>
        <w:numId w:val="1"/>
      </w:numPr>
      <w:spacing w:beforeLines="100" w:before="100" w:line="360" w:lineRule="auto"/>
      <w:outlineLvl w:val="1"/>
    </w:pPr>
    <w:rPr>
      <w:rFonts w:eastAsia="华文中宋"/>
      <w:b/>
      <w:sz w:val="30"/>
    </w:rPr>
  </w:style>
  <w:style w:type="paragraph" w:styleId="a7">
    <w:name w:val="List Paragraph"/>
    <w:basedOn w:val="a0"/>
    <w:uiPriority w:val="99"/>
    <w:unhideWhenUsed/>
    <w:rsid w:val="006B74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企业用户_1269990559</dc:creator>
  <cp:lastModifiedBy>守禄 张</cp:lastModifiedBy>
  <cp:revision>5</cp:revision>
  <dcterms:created xsi:type="dcterms:W3CDTF">2023-11-09T03:24:00Z</dcterms:created>
  <dcterms:modified xsi:type="dcterms:W3CDTF">2025-05-27T06:09:00Z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B6F857787C794CCFB7D2A0E2DBF5AC10_13</vt:lpwstr>
  </property>
  <property fmtid="{D5CDD505-2E9C-101B-9397-08002B2CF9AE}" pid="4" name="KSOTemplateDocerSaveRecord">
    <vt:lpwstr>eyJoZGlkIjoiZTllYzExZmQ0ODgxNDQ2YTM1NTNjNzkzM2Q2ZmUzNjQiLCJ1c2VySWQiOiI0OTc5NDAzNjMifQ==</vt:lpwstr>
  </property>
</Properties>
</file>