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bCs/>
          <w:sz w:val="32"/>
          <w:szCs w:val="32"/>
        </w:rPr>
      </w:pPr>
      <w:r>
        <w:rPr>
          <w:rFonts w:hint="eastAsia" w:ascii="黑体" w:hAnsi="黑体" w:eastAsia="黑体" w:cs="Times New Roman"/>
          <w:bCs/>
          <w:sz w:val="32"/>
          <w:szCs w:val="32"/>
        </w:rPr>
        <w:t>附件1</w:t>
      </w:r>
    </w:p>
    <w:p>
      <w:pPr>
        <w:overflowPunct w:val="0"/>
        <w:spacing w:line="400" w:lineRule="exact"/>
        <w:rPr>
          <w:rFonts w:ascii="Times New Roman" w:hAnsi="Times New Roman" w:eastAsia="黑体" w:cs="Times New Roman"/>
          <w:sz w:val="32"/>
          <w:szCs w:val="32"/>
        </w:rPr>
      </w:pPr>
    </w:p>
    <w:p>
      <w:pPr>
        <w:overflowPunct w:val="0"/>
        <w:spacing w:line="560" w:lineRule="exact"/>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本次检验项目</w:t>
      </w:r>
    </w:p>
    <w:p>
      <w:pPr>
        <w:ind w:firstLine="640"/>
        <w:rPr>
          <w:rFonts w:hint="eastAsia" w:ascii="仿宋" w:hAnsi="仿宋" w:eastAsia="仿宋" w:cs="仿宋"/>
          <w:sz w:val="32"/>
          <w:szCs w:val="32"/>
        </w:rPr>
      </w:pPr>
    </w:p>
    <w:p>
      <w:pPr>
        <w:ind w:firstLine="640"/>
        <w:rPr>
          <w:rFonts w:hint="eastAsia" w:ascii="黑体" w:hAnsi="黑体" w:eastAsia="黑体" w:cs="黑体"/>
          <w:sz w:val="32"/>
          <w:szCs w:val="32"/>
        </w:rPr>
      </w:pPr>
      <w:r>
        <w:rPr>
          <w:rFonts w:hint="eastAsia" w:ascii="黑体" w:hAnsi="黑体" w:eastAsia="黑体" w:cs="黑体"/>
          <w:sz w:val="32"/>
          <w:szCs w:val="32"/>
        </w:rPr>
        <w:t>一、粮食加工品</w:t>
      </w:r>
    </w:p>
    <w:p>
      <w:pPr>
        <w:ind w:firstLine="64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2762）、《卫生部等7部门关于撤销食品添加剂过氧化苯甲酰、过氧化钙的公告》（卫生部公告〔2011〕4号）、</w:t>
      </w:r>
      <w:r>
        <w:rPr>
          <w:rFonts w:hint="eastAsia" w:ascii="仿宋" w:hAnsi="仿宋" w:eastAsia="仿宋" w:cs="仿宋"/>
          <w:bCs/>
          <w:sz w:val="32"/>
          <w:szCs w:val="32"/>
        </w:rPr>
        <w:t>《食品安全国家标准 食品中真菌毒素限量》（GB 2761）、</w:t>
      </w:r>
      <w:r>
        <w:rPr>
          <w:rFonts w:hint="eastAsia" w:ascii="仿宋" w:hAnsi="仿宋" w:eastAsia="仿宋" w:cs="仿宋"/>
          <w:sz w:val="32"/>
          <w:szCs w:val="32"/>
        </w:rPr>
        <w:t>《食品安全国家标准 食品添加剂使用标准》（GB 2760）等标准。</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1.通用小麦粉、专用小麦粉抽检项目包括镉（以Cd计），玉米赤霉烯酮，黄曲霉毒素B</w:t>
      </w:r>
      <w:r>
        <w:rPr>
          <w:rFonts w:hint="eastAsia" w:ascii="仿宋" w:hAnsi="仿宋" w:eastAsia="仿宋" w:cs="仿宋"/>
          <w:sz w:val="32"/>
          <w:szCs w:val="32"/>
          <w:vertAlign w:val="subscript"/>
        </w:rPr>
        <w:t>1</w:t>
      </w:r>
      <w:r>
        <w:rPr>
          <w:rFonts w:hint="eastAsia" w:ascii="仿宋" w:hAnsi="仿宋" w:eastAsia="仿宋" w:cs="仿宋"/>
          <w:sz w:val="32"/>
          <w:szCs w:val="32"/>
        </w:rPr>
        <w:t>，过氧化苯甲酰。</w:t>
      </w:r>
    </w:p>
    <w:p>
      <w:pPr>
        <w:ind w:firstLine="640" w:firstLineChars="200"/>
        <w:rPr>
          <w:rFonts w:ascii="仿宋" w:hAnsi="仿宋" w:eastAsia="仿宋" w:cs="仿宋"/>
          <w:sz w:val="32"/>
          <w:szCs w:val="32"/>
        </w:rPr>
      </w:pPr>
      <w:r>
        <w:rPr>
          <w:rFonts w:hint="eastAsia" w:ascii="仿宋" w:hAnsi="仿宋" w:eastAsia="仿宋" w:cs="仿宋"/>
          <w:sz w:val="32"/>
          <w:szCs w:val="32"/>
        </w:rPr>
        <w:t>2.其他谷物碾磨加工品抽检项目包括铅（以Pb计），赭曲霉毒素A。</w:t>
      </w:r>
    </w:p>
    <w:p>
      <w:pPr>
        <w:ind w:firstLine="640" w:firstLineChars="200"/>
        <w:rPr>
          <w:rFonts w:ascii="仿宋" w:hAnsi="仿宋" w:eastAsia="仿宋" w:cs="仿宋"/>
          <w:sz w:val="32"/>
          <w:szCs w:val="32"/>
        </w:rPr>
      </w:pPr>
      <w:r>
        <w:rPr>
          <w:rFonts w:hint="eastAsia" w:ascii="仿宋" w:hAnsi="仿宋" w:eastAsia="仿宋" w:cs="仿宋"/>
          <w:sz w:val="32"/>
          <w:szCs w:val="32"/>
        </w:rPr>
        <w:t>3.米粉制品抽检项目包括苯甲酸及其钠盐（以苯甲酸计），山梨酸及其钾盐（以山梨酸计），脱氢乙酸及其钠盐（以脱氢乙酸计），二氧化硫残留量。</w:t>
      </w:r>
    </w:p>
    <w:p>
      <w:pPr>
        <w:ind w:firstLine="640" w:firstLineChars="200"/>
        <w:rPr>
          <w:rFonts w:ascii="仿宋" w:hAnsi="仿宋" w:eastAsia="仿宋" w:cs="仿宋"/>
          <w:sz w:val="32"/>
          <w:szCs w:val="32"/>
        </w:rPr>
      </w:pPr>
      <w:r>
        <w:rPr>
          <w:rFonts w:hint="eastAsia" w:ascii="仿宋" w:hAnsi="仿宋" w:eastAsia="仿宋" w:cs="仿宋"/>
          <w:sz w:val="32"/>
          <w:szCs w:val="32"/>
        </w:rPr>
        <w:t>4.其他谷物粉类制成品抽检项目包括苯甲酸及其钠盐（以苯甲酸计），山梨酸及其钾盐（以山梨酸计）。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二、食用油、油脂及其制品</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植物油》（GB 2716）、《食品安全国家标准 食品中污染物限量》（GB 2762）、《食品安全国家标准 食用动物油脂》（GB 10146）、《食品安全国家标准 食品添加剂使用标准》（GB 2760）等标准及产品明示标准和指标的要求。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1.芝麻油抽检项目包括酸值/酸价，过氧化值，苯并[a]芘。</w:t>
      </w:r>
    </w:p>
    <w:p>
      <w:pPr>
        <w:tabs>
          <w:tab w:val="left" w:pos="5693"/>
        </w:tabs>
        <w:ind w:firstLine="640" w:firstLineChars="200"/>
        <w:rPr>
          <w:rFonts w:ascii="仿宋" w:hAnsi="仿宋" w:eastAsia="仿宋" w:cs="仿宋"/>
          <w:sz w:val="32"/>
          <w:szCs w:val="32"/>
        </w:rPr>
      </w:pPr>
      <w:r>
        <w:rPr>
          <w:rFonts w:hint="eastAsia" w:ascii="仿宋" w:hAnsi="仿宋" w:eastAsia="仿宋" w:cs="仿宋"/>
          <w:sz w:val="32"/>
          <w:szCs w:val="32"/>
        </w:rPr>
        <w:t>2.食用动物油脂抽检项目包括酸价，过氧化值，丙二醛，苯并[a]芘。</w:t>
      </w:r>
    </w:p>
    <w:p>
      <w:pPr>
        <w:tabs>
          <w:tab w:val="left" w:pos="5693"/>
        </w:tabs>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.煎炸过程用油抽检项目包括酸价、极性组分。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三、调味品</w:t>
      </w:r>
    </w:p>
    <w:p>
      <w:pPr>
        <w:ind w:firstLine="64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食品添加剂使用标准》（GB 2760）、《食品安全国家标准 食品中污染物限量》（GB 2762）、 《食品安全国家标准 食醋》（GB 2719）、《酿造食醋》（GB/T 18187）、《关于印发《食品中可能违法添加的非食用物质和易滥用的食品添加剂品种名单（第五批）》的通知》（整顿办函〔2011〕1号）等标准及产品明示标准和指标的要求。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1.食醋抽检项目包括总酸（以乙酸计），苯甲酸及其钠盐（以苯甲酸计），山梨酸及其钾盐（以山梨酸计），脱氢乙酸及其钠盐（以脱氢乙酸计），菌落总数。</w:t>
      </w:r>
    </w:p>
    <w:p>
      <w:pPr>
        <w:ind w:firstLine="640" w:firstLineChars="200"/>
        <w:rPr>
          <w:rFonts w:ascii="仿宋" w:hAnsi="仿宋" w:eastAsia="仿宋" w:cs="仿宋"/>
          <w:sz w:val="32"/>
          <w:szCs w:val="32"/>
        </w:rPr>
      </w:pPr>
      <w:r>
        <w:rPr>
          <w:rFonts w:hint="eastAsia" w:ascii="仿宋" w:hAnsi="仿宋" w:eastAsia="仿宋" w:cs="仿宋"/>
          <w:sz w:val="32"/>
          <w:szCs w:val="32"/>
        </w:rPr>
        <w:t>2.其他固体调味料抽检项目包括铅（以 Pb 计），苏丹红 I、苏丹红 II、苏丹红 III、苏丹红IV。</w:t>
      </w:r>
    </w:p>
    <w:p>
      <w:pPr>
        <w:ind w:firstLine="640" w:firstLineChars="200"/>
        <w:rPr>
          <w:rFonts w:ascii="仿宋" w:hAnsi="仿宋" w:eastAsia="仿宋" w:cs="仿宋"/>
          <w:sz w:val="32"/>
          <w:szCs w:val="32"/>
        </w:rPr>
      </w:pPr>
      <w:r>
        <w:rPr>
          <w:rFonts w:hint="eastAsia" w:ascii="仿宋" w:hAnsi="仿宋" w:eastAsia="仿宋" w:cs="仿宋"/>
          <w:sz w:val="32"/>
          <w:szCs w:val="32"/>
        </w:rPr>
        <w:t>3.其他香辛料调味品抽检项目包括铅（以 Pb 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其他液体调味料抽检项目包括苯甲酸及其钠盐（以苯甲酸计），山梨酸及其钾盐（以山梨酸计），脱氢乙酸及其钠盐（以脱氢乙酸计），甜蜜素。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四、饮料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bCs/>
          <w:sz w:val="32"/>
          <w:szCs w:val="32"/>
        </w:rPr>
        <w:t>抽检依据是《食品安全国家标准 食品中污染物限量》（GB 2762）、《食品安全国家标准 包装饮用水》（GB 19298）</w:t>
      </w:r>
      <w:r>
        <w:rPr>
          <w:rFonts w:hint="eastAsia" w:ascii="仿宋" w:hAnsi="仿宋" w:eastAsia="仿宋" w:cs="仿宋"/>
          <w:sz w:val="32"/>
          <w:szCs w:val="32"/>
        </w:rPr>
        <w:t>等标准及产品明示标准和指标的要求。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1.其他饮用水抽检项目包括耗氧量（以O</w:t>
      </w:r>
      <w:r>
        <w:rPr>
          <w:rFonts w:hint="eastAsia" w:ascii="仿宋" w:hAnsi="仿宋" w:eastAsia="仿宋" w:cs="仿宋"/>
          <w:sz w:val="32"/>
          <w:szCs w:val="32"/>
          <w:vertAlign w:val="subscript"/>
        </w:rPr>
        <w:t>2</w:t>
      </w:r>
      <w:r>
        <w:rPr>
          <w:rFonts w:hint="eastAsia" w:ascii="仿宋" w:hAnsi="仿宋" w:eastAsia="仿宋" w:cs="仿宋"/>
          <w:sz w:val="32"/>
          <w:szCs w:val="32"/>
        </w:rPr>
        <w:t>计），亚硝酸盐（以NO</w:t>
      </w:r>
      <w:r>
        <w:rPr>
          <w:rFonts w:hint="eastAsia" w:ascii="仿宋" w:hAnsi="仿宋" w:eastAsia="仿宋" w:cs="仿宋"/>
          <w:sz w:val="32"/>
          <w:szCs w:val="32"/>
          <w:vertAlign w:val="superscript"/>
        </w:rPr>
        <w:t>2-</w:t>
      </w:r>
      <w:r>
        <w:rPr>
          <w:rFonts w:hint="eastAsia" w:ascii="仿宋" w:hAnsi="仿宋" w:eastAsia="仿宋" w:cs="仿宋"/>
          <w:sz w:val="32"/>
          <w:szCs w:val="32"/>
        </w:rPr>
        <w:t>计），余氯（游离氯），三氯甲烷，溴酸盐，大肠菌群，铜绿假单胞菌。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五、糖果制品</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抽检依据是</w:t>
      </w:r>
      <w:r>
        <w:rPr>
          <w:rFonts w:hint="eastAsia" w:ascii="仿宋" w:hAnsi="仿宋" w:eastAsia="仿宋" w:cs="仿宋"/>
          <w:bCs/>
          <w:sz w:val="32"/>
          <w:szCs w:val="32"/>
        </w:rPr>
        <w:t>《食品安全国家标准 食品添加剂使用标准》（GB 2760）、</w:t>
      </w:r>
      <w:r>
        <w:rPr>
          <w:rFonts w:hint="eastAsia" w:ascii="仿宋" w:hAnsi="仿宋" w:eastAsia="仿宋" w:cs="仿宋"/>
          <w:sz w:val="32"/>
          <w:szCs w:val="32"/>
        </w:rPr>
        <w:t>《食品安全国家标准 食品中污染物限量》（GB 2762）、</w:t>
      </w:r>
      <w:r>
        <w:rPr>
          <w:rFonts w:hint="eastAsia" w:ascii="仿宋" w:hAnsi="仿宋" w:eastAsia="仿宋" w:cs="仿宋"/>
          <w:bCs/>
          <w:sz w:val="32"/>
          <w:szCs w:val="32"/>
        </w:rPr>
        <w:t>《食品安全国家标准 食品中致病菌限量》（GB 29921）等</w:t>
      </w:r>
      <w:r>
        <w:rPr>
          <w:rFonts w:hint="eastAsia" w:ascii="仿宋" w:hAnsi="仿宋" w:eastAsia="仿宋" w:cs="仿宋"/>
          <w:sz w:val="32"/>
          <w:szCs w:val="32"/>
        </w:rPr>
        <w:t>标准</w:t>
      </w:r>
      <w:r>
        <w:rPr>
          <w:rFonts w:hint="eastAsia" w:ascii="仿宋" w:hAnsi="仿宋" w:eastAsia="仿宋" w:cs="仿宋"/>
          <w:bCs/>
          <w:sz w:val="32"/>
          <w:szCs w:val="32"/>
        </w:rPr>
        <w:t>。</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rPr>
          <w:rFonts w:ascii="仿宋" w:hAnsi="仿宋" w:eastAsia="仿宋" w:cs="仿宋"/>
          <w:sz w:val="32"/>
          <w:szCs w:val="32"/>
        </w:rPr>
      </w:pPr>
      <w:r>
        <w:rPr>
          <w:rFonts w:hint="eastAsia" w:ascii="仿宋" w:hAnsi="仿宋" w:eastAsia="仿宋" w:cs="仿宋"/>
          <w:sz w:val="32"/>
          <w:szCs w:val="32"/>
        </w:rPr>
        <w:t>1.糖果抽检项目包括铅（以Pb计），糖精钠（以糖精计），合成着色剂(柠檬黄、苋菜红、胭脂红、日落黄)（视具体色泽确定），菌落总数，二氧化硫残留量，三氯蔗糖。</w:t>
      </w:r>
    </w:p>
    <w:p>
      <w:pPr>
        <w:ind w:firstLine="640"/>
        <w:rPr>
          <w:rFonts w:ascii="仿宋" w:hAnsi="仿宋" w:eastAsia="仿宋" w:cs="仿宋"/>
          <w:sz w:val="32"/>
          <w:szCs w:val="32"/>
        </w:rPr>
      </w:pPr>
      <w:r>
        <w:rPr>
          <w:rFonts w:hint="eastAsia" w:ascii="仿宋" w:hAnsi="仿宋" w:eastAsia="仿宋" w:cs="仿宋"/>
          <w:sz w:val="32"/>
          <w:szCs w:val="32"/>
        </w:rPr>
        <w:t>2.巧克力及巧克力制品抽检项目包括铅（以Pb计），沙门氏菌。</w:t>
      </w:r>
    </w:p>
    <w:p>
      <w:pPr>
        <w:ind w:firstLine="640"/>
        <w:rPr>
          <w:rFonts w:hint="eastAsia" w:ascii="黑体" w:hAnsi="黑体" w:eastAsia="黑体" w:cs="黑体"/>
          <w:sz w:val="32"/>
          <w:szCs w:val="32"/>
        </w:rPr>
      </w:pPr>
      <w:r>
        <w:rPr>
          <w:rFonts w:hint="eastAsia" w:ascii="黑体" w:hAnsi="黑体" w:eastAsia="黑体" w:cs="黑体"/>
          <w:sz w:val="32"/>
          <w:szCs w:val="32"/>
        </w:rPr>
        <w:t>六、茶叶及相关制品</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食品中农药最大残留限量》（GB 2763）、《食品安全国家标准 食品中污染物限量》（GB 2762）等标准。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bCs/>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绿茶、红茶、乌龙茶、黄茶、白茶、黑茶、花茶、袋泡茶、紧压茶等抽检项目包括铅（以Pb计），吡虫啉，草甘膦，克百威，氧乐果，毒死蜱。</w:t>
      </w:r>
    </w:p>
    <w:p>
      <w:pPr>
        <w:ind w:firstLine="640"/>
        <w:rPr>
          <w:rFonts w:hint="eastAsia" w:ascii="黑体" w:hAnsi="黑体" w:eastAsia="黑体" w:cs="黑体"/>
          <w:sz w:val="32"/>
          <w:szCs w:val="32"/>
        </w:rPr>
      </w:pPr>
      <w:r>
        <w:rPr>
          <w:rFonts w:hint="eastAsia" w:ascii="黑体" w:hAnsi="黑体" w:eastAsia="黑体" w:cs="黑体"/>
          <w:sz w:val="32"/>
          <w:szCs w:val="32"/>
        </w:rPr>
        <w:t>七、酒类</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蒸馏酒及其配制酒》（GB 2757）、《食品安全国家标准 发酵酒及其配制酒》（GB 2758），《食品安全国家标准 食品添加剂使用标准》（GB 2760）、《食品安全国家标准 食品中真菌毒素限量》（GB 2761）等标准及产品明示标准和指标的要求。</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bCs/>
          <w:sz w:val="32"/>
          <w:szCs w:val="32"/>
        </w:rPr>
      </w:pPr>
      <w:r>
        <w:rPr>
          <w:rFonts w:hint="eastAsia" w:ascii="仿宋" w:hAnsi="仿宋" w:eastAsia="仿宋" w:cs="仿宋"/>
          <w:sz w:val="32"/>
          <w:szCs w:val="32"/>
        </w:rPr>
        <w:t>1.白酒、白酒(液态)、白酒(原酒)抽检项目包括酒精度，甲醇，氰化物（以HCN计），糖精钠（以糖精计），甜蜜素（以环己基氨基磺酸计），三氯蔗糖。</w:t>
      </w:r>
    </w:p>
    <w:p>
      <w:pPr>
        <w:ind w:firstLine="640" w:firstLineChars="200"/>
        <w:rPr>
          <w:rFonts w:ascii="仿宋" w:hAnsi="仿宋" w:eastAsia="仿宋" w:cs="仿宋"/>
          <w:sz w:val="32"/>
          <w:szCs w:val="32"/>
        </w:rPr>
      </w:pPr>
      <w:r>
        <w:rPr>
          <w:rFonts w:hint="eastAsia" w:ascii="仿宋" w:hAnsi="仿宋" w:eastAsia="仿宋" w:cs="仿宋"/>
          <w:sz w:val="32"/>
          <w:szCs w:val="32"/>
        </w:rPr>
        <w:t>2.黄酒抽检项目包括酒精度，苯甲酸及其钠盐（以苯甲酸计），山梨酸及其钾盐（以山梨酸计），糖精钠（以糖精计），甜蜜素（以环己基氨基磺酸计）。</w:t>
      </w:r>
    </w:p>
    <w:p>
      <w:pPr>
        <w:ind w:firstLine="640" w:firstLineChars="200"/>
        <w:rPr>
          <w:rFonts w:ascii="仿宋" w:hAnsi="仿宋" w:eastAsia="仿宋" w:cs="仿宋"/>
          <w:sz w:val="32"/>
          <w:szCs w:val="32"/>
        </w:rPr>
      </w:pPr>
      <w:r>
        <w:rPr>
          <w:rFonts w:hint="eastAsia" w:ascii="仿宋" w:hAnsi="仿宋" w:eastAsia="仿宋" w:cs="仿宋"/>
          <w:sz w:val="32"/>
          <w:szCs w:val="32"/>
        </w:rPr>
        <w:t>3.果酒抽检项目包括酒精度，展青霉素，糖精钠（以糖精计）。</w:t>
      </w:r>
    </w:p>
    <w:p>
      <w:pPr>
        <w:ind w:firstLine="640" w:firstLineChars="200"/>
        <w:rPr>
          <w:rFonts w:ascii="仿宋" w:hAnsi="仿宋" w:eastAsia="仿宋" w:cs="仿宋"/>
          <w:sz w:val="32"/>
          <w:szCs w:val="32"/>
        </w:rPr>
      </w:pPr>
      <w:r>
        <w:rPr>
          <w:rFonts w:hint="eastAsia" w:ascii="仿宋" w:hAnsi="仿宋" w:eastAsia="仿宋" w:cs="仿宋"/>
          <w:sz w:val="32"/>
          <w:szCs w:val="32"/>
        </w:rPr>
        <w:t>4.其他蒸馏酒抽检项目包括酒精度，糖精钠（以糖精计），甜蜜素（以环己基氨基磺酸计），甲醇，氰化物（以HCN计）。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八、蛋制品</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2762）、《食品安全国家标准 食品添加剂使用标准》（GB 2760）等标准。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再制蛋抽检项目包括铅（以Pb计），苯甲酸及其钠盐（以苯甲酸计），山梨酸及其钾盐（以山梨酸计）。</w:t>
      </w:r>
    </w:p>
    <w:p>
      <w:pPr>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九、食糖</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2762）、《食品安全国家标准 食品添加剂使用标准》（GB 2760）、《食品安全国家标准 食糖》（GB 13104）等标准。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1.白砂糖抽检项目包括铅，总砷（以As计），螨，二氧化硫残留量。</w:t>
      </w:r>
    </w:p>
    <w:p>
      <w:pPr>
        <w:ind w:firstLine="640" w:firstLineChars="200"/>
        <w:rPr>
          <w:rFonts w:ascii="仿宋" w:hAnsi="仿宋" w:eastAsia="仿宋" w:cs="仿宋"/>
          <w:sz w:val="32"/>
          <w:szCs w:val="32"/>
        </w:rPr>
      </w:pPr>
      <w:r>
        <w:rPr>
          <w:rFonts w:hint="eastAsia" w:ascii="仿宋" w:hAnsi="仿宋" w:eastAsia="仿宋" w:cs="仿宋"/>
          <w:sz w:val="32"/>
          <w:szCs w:val="32"/>
        </w:rPr>
        <w:t>2.红糖抽检项目包括铅，总砷（以As计），螨。</w:t>
      </w:r>
    </w:p>
    <w:p>
      <w:pPr>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十、蔬菜制品</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2762）、《食品安全国家标准 食品添加剂使用标准》（GB 2760）等标准。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干制食用菌抽检项目包括铅（以Pb计），总砷（以As计），镉（以Cd计），二氧化硫残留量。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十一、淀粉及淀粉制品</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2762）、《食品安全国家标准 食品添加剂使用标准》（GB 2760）、《食品安全国家标准 食用淀粉》（GB 31637）等标准。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1.粉丝粉条抽检项目包括铅（以Pb计），铝的残留量（干样品，以Al计），二氧化硫残留量。</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2.淀粉抽检项目包括铅（以Pb计），菌落总数，大肠菌群，霉菌和酵母。</w:t>
      </w:r>
    </w:p>
    <w:p>
      <w:pPr>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十二、糕点</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糕点、面包》（GB 7099）、《食品安全国家标准 食品添加剂使用标准》（GB 2760）、等标准及产品明示标准和指标的要求。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糕点抽检项目包括酸价（以脂肪计），过氧化值（以脂肪计），苯甲酸及其钠盐（以苯甲酸计），山梨酸及其钾盐（以山梨酸计），糖精钠（以糖精计），脱氢乙酸及其钠盐（以脱氢乙酸计），菌落总数，大肠菌群，霉菌。</w:t>
      </w:r>
    </w:p>
    <w:p>
      <w:pPr>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十三、豆制品</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食品添加剂使用标准》（GB 2760）、《食品安全国家标准 豆制品》（GB 2712）等标准。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腐乳、豆豉、纳豆等抽检项目包括苯甲酸及其钠盐（以苯甲酸计），山梨酸及其钾盐（以山梨酸计），脱氢乙酸及其钠盐（以脱氢乙酸计），甜蜜素（以环己基氨基磺酸计），大肠菌群。</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十四、保健食品</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抽检依据是国家食品药品监督管理局药品检验补充检验方法和检验项目批准件2009030标准、《食品安全国家标准 保健食品》（GB 16740）。</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（二）检验项目</w:t>
      </w:r>
    </w:p>
    <w:p>
      <w:pPr>
        <w:ind w:firstLine="640" w:firstLineChars="200"/>
        <w:rPr>
          <w:rFonts w:ascii="仿宋" w:hAnsi="仿宋" w:eastAsia="仿宋" w:cs="仿宋"/>
          <w:sz w:val="32"/>
          <w:szCs w:val="32"/>
        </w:rPr>
      </w:pPr>
      <w:r>
        <w:rPr>
          <w:rFonts w:hint="eastAsia" w:ascii="仿宋" w:hAnsi="仿宋" w:eastAsia="仿宋" w:cs="仿宋"/>
          <w:sz w:val="32"/>
          <w:szCs w:val="32"/>
        </w:rPr>
        <w:t>1.缓解体力疲劳类/提高免疫力类保健食品抽检项目包括红地那非，他达拉非，西地那非。</w:t>
      </w:r>
    </w:p>
    <w:p>
      <w:pPr>
        <w:ind w:firstLine="640" w:firstLineChars="200"/>
        <w:rPr>
          <w:rFonts w:ascii="仿宋" w:hAnsi="仿宋" w:eastAsia="仿宋" w:cs="仿宋"/>
          <w:sz w:val="32"/>
          <w:szCs w:val="32"/>
        </w:rPr>
      </w:pPr>
      <w:r>
        <w:rPr>
          <w:rFonts w:hint="eastAsia" w:ascii="仿宋" w:hAnsi="仿宋" w:eastAsia="仿宋" w:cs="仿宋"/>
          <w:sz w:val="32"/>
          <w:szCs w:val="32"/>
        </w:rPr>
        <w:t>2.辅助降血糖类保健食品抽检项目包括格列本脲、盐酸二甲双胍。</w:t>
      </w:r>
    </w:p>
    <w:p>
      <w:pPr>
        <w:ind w:firstLine="640" w:firstLineChars="200"/>
        <w:rPr>
          <w:rFonts w:ascii="仿宋" w:hAnsi="仿宋" w:eastAsia="仿宋" w:cs="仿宋"/>
          <w:sz w:val="32"/>
          <w:szCs w:val="32"/>
        </w:rPr>
      </w:pPr>
      <w:r>
        <w:rPr>
          <w:rFonts w:hint="eastAsia" w:ascii="仿宋" w:hAnsi="仿宋" w:eastAsia="仿宋" w:cs="仿宋"/>
          <w:sz w:val="32"/>
          <w:szCs w:val="32"/>
        </w:rPr>
        <w:t>3.改善睡眠类保健食品抽检项目包括地西伴。</w:t>
      </w:r>
    </w:p>
    <w:p>
      <w:pPr>
        <w:ind w:firstLine="640" w:firstLineChars="200"/>
        <w:rPr>
          <w:rFonts w:ascii="仿宋" w:hAnsi="仿宋" w:eastAsia="仿宋" w:cs="仿宋"/>
          <w:sz w:val="32"/>
          <w:szCs w:val="32"/>
        </w:rPr>
      </w:pPr>
      <w:r>
        <w:rPr>
          <w:rFonts w:hint="eastAsia" w:ascii="仿宋" w:hAnsi="仿宋" w:eastAsia="仿宋" w:cs="仿宋"/>
          <w:sz w:val="32"/>
          <w:szCs w:val="32"/>
        </w:rPr>
        <w:t>4.辅助降血压类保健食品抽检项目包括阿替洛尔、硝苯地平。</w:t>
      </w:r>
    </w:p>
    <w:p>
      <w:pPr>
        <w:ind w:firstLine="640" w:firstLineChars="200"/>
        <w:rPr>
          <w:rFonts w:ascii="仿宋" w:hAnsi="仿宋" w:eastAsia="仿宋" w:cs="仿宋"/>
          <w:sz w:val="32"/>
          <w:szCs w:val="32"/>
        </w:rPr>
      </w:pPr>
      <w:r>
        <w:rPr>
          <w:rFonts w:hint="eastAsia" w:ascii="仿宋" w:hAnsi="仿宋" w:eastAsia="仿宋" w:cs="仿宋"/>
          <w:sz w:val="32"/>
          <w:szCs w:val="32"/>
        </w:rPr>
        <w:t>5.其他保健食品抽检项目包括铅（Pb），总砷（As），总汞（Hg），菌落总数。</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十五、特殊膳食食品</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2762）、《食品安全国家标准 婴幼儿谷类辅助食品》（GB 10769）、《食品安全国家标准 食品中真菌毒素限量》（GB 2761）、《国家卫健委关于发布婴幼儿谷类辅助食品中镉的临时限量值的公告》（卫健委、市场监管总局公告（2018年第7号））、</w:t>
      </w:r>
      <w:r>
        <w:rPr>
          <w:rFonts w:hint="eastAsia" w:ascii="仿宋" w:hAnsi="仿宋" w:eastAsia="仿宋" w:cs="仿宋"/>
          <w:bCs/>
          <w:sz w:val="32"/>
          <w:szCs w:val="32"/>
        </w:rPr>
        <w:t>《食品安全国家标准 食品中致病菌限量》（GB 29921）</w:t>
      </w:r>
      <w:r>
        <w:rPr>
          <w:rFonts w:hint="eastAsia" w:ascii="仿宋" w:hAnsi="仿宋" w:eastAsia="仿宋" w:cs="仿宋"/>
          <w:sz w:val="32"/>
          <w:szCs w:val="32"/>
        </w:rPr>
        <w:t>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婴幼儿谷物辅助食品、婴幼儿高蛋白谷物辅助食品、婴幼儿生制类谷物辅助食品、婴幼儿饼干或其他婴幼儿谷物辅助食品等抽检项目包括蛋白质，脂肪，铅（以Pb计），无机砷（以As计），锡（以Sn计），镉（以Cd计），黄曲霉毒素B</w:t>
      </w:r>
      <w:r>
        <w:rPr>
          <w:rFonts w:hint="eastAsia" w:ascii="仿宋" w:hAnsi="仿宋" w:eastAsia="仿宋" w:cs="仿宋"/>
          <w:sz w:val="32"/>
          <w:szCs w:val="32"/>
          <w:vertAlign w:val="subscript"/>
        </w:rPr>
        <w:t>1</w:t>
      </w:r>
      <w:r>
        <w:rPr>
          <w:rFonts w:hint="eastAsia" w:ascii="仿宋" w:hAnsi="仿宋" w:eastAsia="仿宋" w:cs="仿宋"/>
          <w:sz w:val="32"/>
          <w:szCs w:val="32"/>
        </w:rPr>
        <w:t>，硝酸盐（以NaNO3计），亚硝酸盐（以NaNO2计），大肠菌群，沙门氏菌。</w:t>
      </w:r>
    </w:p>
    <w:p>
      <w:pPr>
        <w:snapToGrid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十六、食品添加剂</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sz w:val="32"/>
          <w:szCs w:val="32"/>
        </w:rPr>
        <w:t>抽检依据</w:t>
      </w:r>
    </w:p>
    <w:p>
      <w:pPr>
        <w:ind w:firstLine="640" w:firstLineChars="200"/>
        <w:rPr>
          <w:rFonts w:ascii="仿宋" w:hAnsi="仿宋" w:eastAsia="仿宋" w:cs="仿宋"/>
          <w:sz w:val="32"/>
          <w:szCs w:val="32"/>
        </w:rPr>
      </w:pPr>
      <w:r>
        <w:rPr>
          <w:rFonts w:hint="eastAsia" w:ascii="仿宋" w:hAnsi="仿宋" w:eastAsia="仿宋" w:cs="仿宋"/>
          <w:sz w:val="32"/>
          <w:szCs w:val="32"/>
        </w:rPr>
        <w:t>抽检依据是《食品安全国家标准 食品中污染物限量》（GB 2762）、</w:t>
      </w:r>
      <w:r>
        <w:rPr>
          <w:rFonts w:hint="eastAsia" w:ascii="仿宋" w:hAnsi="仿宋" w:eastAsia="仿宋" w:cs="仿宋"/>
          <w:bCs/>
          <w:sz w:val="32"/>
          <w:szCs w:val="32"/>
        </w:rPr>
        <w:t>《食品安全国家标准 食品中致病菌限量</w:t>
      </w:r>
      <w:bookmarkStart w:id="0" w:name="_GoBack"/>
      <w:bookmarkEnd w:id="0"/>
      <w:r>
        <w:rPr>
          <w:rFonts w:hint="eastAsia" w:ascii="仿宋" w:hAnsi="仿宋" w:eastAsia="仿宋" w:cs="仿宋"/>
          <w:bCs/>
          <w:sz w:val="32"/>
          <w:szCs w:val="32"/>
        </w:rPr>
        <w:t>》（GB 29921）、《食品安全国家标准 食品用香精》（GB 30616）</w:t>
      </w:r>
      <w:r>
        <w:rPr>
          <w:rFonts w:hint="eastAsia" w:ascii="仿宋" w:hAnsi="仿宋" w:eastAsia="仿宋" w:cs="仿宋"/>
          <w:sz w:val="32"/>
          <w:szCs w:val="32"/>
        </w:rPr>
        <w:t>等标准。</w:t>
      </w:r>
    </w:p>
    <w:p>
      <w:pPr>
        <w:snapToGrid w:val="0"/>
        <w:spacing w:line="600" w:lineRule="exact"/>
        <w:ind w:firstLine="640" w:firstLineChars="200"/>
        <w:jc w:val="left"/>
        <w:rPr>
          <w:rFonts w:hint="eastAsia" w:ascii="楷体" w:hAnsi="楷体" w:eastAsia="楷体" w:cs="楷体"/>
          <w:bCs/>
          <w:sz w:val="32"/>
          <w:szCs w:val="32"/>
        </w:rPr>
      </w:pPr>
      <w:r>
        <w:rPr>
          <w:rFonts w:hint="eastAsia" w:ascii="楷体" w:hAnsi="楷体" w:eastAsia="楷体" w:cs="楷体"/>
          <w:bCs/>
          <w:sz w:val="32"/>
          <w:szCs w:val="32"/>
        </w:rPr>
        <w:t>（二）</w:t>
      </w:r>
      <w:r>
        <w:rPr>
          <w:rFonts w:hint="eastAsia" w:ascii="楷体" w:hAnsi="楷体" w:eastAsia="楷体" w:cs="楷体"/>
          <w:sz w:val="32"/>
          <w:szCs w:val="32"/>
        </w:rPr>
        <w:t>检验项目</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1.复配食品添加剂抽检项目包括铅（Pb），砷（以As计），致病性微生物。</w:t>
      </w:r>
    </w:p>
    <w:p>
      <w:pPr>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2.液体香精、乳化香精、浆（膏）状香精、粉末香精抽检项目包括砷（以As计）含量/无机砷含量,菌落总数。</w:t>
      </w:r>
    </w:p>
    <w:p>
      <w:pPr>
        <w:snapToGrid w:val="0"/>
        <w:spacing w:line="600" w:lineRule="exact"/>
        <w:jc w:val="left"/>
        <w:rPr>
          <w:rFonts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775428"/>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65103"/>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7B71"/>
    <w:rsid w:val="00000044"/>
    <w:rsid w:val="00186242"/>
    <w:rsid w:val="001D6961"/>
    <w:rsid w:val="002A0CD3"/>
    <w:rsid w:val="00445DA6"/>
    <w:rsid w:val="004D6BB7"/>
    <w:rsid w:val="004E4F49"/>
    <w:rsid w:val="005B243E"/>
    <w:rsid w:val="00725EC0"/>
    <w:rsid w:val="007D4A7F"/>
    <w:rsid w:val="0080324A"/>
    <w:rsid w:val="008C7105"/>
    <w:rsid w:val="008E3F96"/>
    <w:rsid w:val="008E5B97"/>
    <w:rsid w:val="00923AE4"/>
    <w:rsid w:val="00B16AEF"/>
    <w:rsid w:val="00B2599D"/>
    <w:rsid w:val="00CE7A45"/>
    <w:rsid w:val="00D031D3"/>
    <w:rsid w:val="00F11F6C"/>
    <w:rsid w:val="022F54D5"/>
    <w:rsid w:val="02FE3237"/>
    <w:rsid w:val="044D4AE1"/>
    <w:rsid w:val="07A30EA1"/>
    <w:rsid w:val="08544D25"/>
    <w:rsid w:val="0A60498E"/>
    <w:rsid w:val="0FED2935"/>
    <w:rsid w:val="180B352D"/>
    <w:rsid w:val="18F926D1"/>
    <w:rsid w:val="19D94E75"/>
    <w:rsid w:val="1A2E774E"/>
    <w:rsid w:val="1AF03356"/>
    <w:rsid w:val="1F7E6E20"/>
    <w:rsid w:val="23000B2D"/>
    <w:rsid w:val="24DA4118"/>
    <w:rsid w:val="2DD815E9"/>
    <w:rsid w:val="3121348B"/>
    <w:rsid w:val="31421AD7"/>
    <w:rsid w:val="3E511BFF"/>
    <w:rsid w:val="3E5C11DD"/>
    <w:rsid w:val="3F353336"/>
    <w:rsid w:val="57C3348E"/>
    <w:rsid w:val="57CB5DFF"/>
    <w:rsid w:val="587C6701"/>
    <w:rsid w:val="59A53592"/>
    <w:rsid w:val="59B9057B"/>
    <w:rsid w:val="5C5428EA"/>
    <w:rsid w:val="613321CF"/>
    <w:rsid w:val="626243B5"/>
    <w:rsid w:val="64C74244"/>
    <w:rsid w:val="684745C2"/>
    <w:rsid w:val="69897B71"/>
    <w:rsid w:val="69C0222C"/>
    <w:rsid w:val="724C2B0A"/>
    <w:rsid w:val="7D9E36D8"/>
    <w:rsid w:val="7DB5346B"/>
    <w:rsid w:val="7F5B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300" w:after="150" w:line="17" w:lineRule="atLeast"/>
      <w:jc w:val="left"/>
      <w:outlineLvl w:val="2"/>
    </w:pPr>
    <w:rPr>
      <w:rFonts w:hint="eastAsia" w:ascii="宋体" w:hAnsi="宋体" w:eastAsia="宋体" w:cs="Times New Roman"/>
      <w:b/>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uiPriority w:val="0"/>
    <w:rPr>
      <w:color w:val="337AB7"/>
      <w:u w:val="none"/>
    </w:rPr>
  </w:style>
  <w:style w:type="character" w:styleId="11">
    <w:name w:val="HTML Code"/>
    <w:basedOn w:val="6"/>
    <w:uiPriority w:val="0"/>
    <w:rPr>
      <w:rFonts w:hint="default" w:ascii="Consolas" w:hAnsi="Consolas" w:eastAsia="Consolas" w:cs="Consolas"/>
      <w:color w:val="C7254E"/>
      <w:sz w:val="21"/>
      <w:szCs w:val="21"/>
      <w:shd w:val="clear" w:color="auto" w:fill="F9F2F4"/>
    </w:rPr>
  </w:style>
  <w:style w:type="character" w:styleId="12">
    <w:name w:val="HTML Keyboard"/>
    <w:basedOn w:val="6"/>
    <w:uiPriority w:val="0"/>
    <w:rPr>
      <w:rFonts w:hint="default" w:ascii="Consolas" w:hAnsi="Consolas" w:eastAsia="Consolas" w:cs="Consolas"/>
      <w:color w:val="FFFFFF"/>
      <w:sz w:val="21"/>
      <w:szCs w:val="21"/>
      <w:shd w:val="clear" w:color="auto" w:fill="333333"/>
    </w:rPr>
  </w:style>
  <w:style w:type="character" w:styleId="13">
    <w:name w:val="HTML Sample"/>
    <w:basedOn w:val="6"/>
    <w:qFormat/>
    <w:uiPriority w:val="0"/>
    <w:rPr>
      <w:rFonts w:ascii="Consolas" w:hAnsi="Consolas" w:eastAsia="Consolas" w:cs="Consolas"/>
      <w:sz w:val="21"/>
      <w:szCs w:val="21"/>
    </w:rPr>
  </w:style>
  <w:style w:type="character" w:customStyle="1" w:styleId="14">
    <w:name w:val="页眉 字符"/>
    <w:basedOn w:val="6"/>
    <w:link w:val="4"/>
    <w:qFormat/>
    <w:uiPriority w:val="0"/>
    <w:rPr>
      <w:rFonts w:asciiTheme="minorHAnsi" w:hAnsiTheme="minorHAnsi" w:eastAsiaTheme="minorEastAsia" w:cstheme="minorBidi"/>
      <w:kern w:val="2"/>
      <w:sz w:val="18"/>
      <w:szCs w:val="18"/>
    </w:rPr>
  </w:style>
  <w:style w:type="character" w:customStyle="1" w:styleId="15">
    <w:name w:val="页脚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575</Words>
  <Characters>3281</Characters>
  <Lines>27</Lines>
  <Paragraphs>7</Paragraphs>
  <TotalTime>44</TotalTime>
  <ScaleCrop>false</ScaleCrop>
  <LinksUpToDate>false</LinksUpToDate>
  <CharactersWithSpaces>3849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2019-06-20T09:19:00Z</dcterms:created>
  <dc:creator>Administrator</dc:creator>
  <cp:lastModifiedBy>贝殿很忙</cp:lastModifiedBy>
  <dcterms:modified xsi:type="dcterms:W3CDTF">2020-11-30T02:07:18Z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