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0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4EE3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5E0C4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Toc1862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2026年“数据要素×”大赛</w:t>
      </w:r>
      <w:bookmarkEnd w:id="0"/>
    </w:p>
    <w:p w14:paraId="0001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1" w:name="_Toc5375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Hans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申报书</w:t>
      </w:r>
      <w:bookmarkEnd w:id="1"/>
    </w:p>
    <w:p w14:paraId="43428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4E4E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left"/>
        <w:rPr>
          <w:rFonts w:hint="default" w:ascii="Times New Roman" w:hAnsi="Times New Roman" w:eastAsia="楷体_GB2312" w:cs="Times New Roman"/>
          <w:sz w:val="36"/>
          <w:szCs w:val="21"/>
        </w:rPr>
      </w:pPr>
    </w:p>
    <w:p w14:paraId="19C9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left"/>
        <w:rPr>
          <w:rFonts w:hint="default" w:ascii="Times New Roman" w:hAnsi="Times New Roman" w:eastAsia="楷体_GB2312" w:cs="Times New Roman"/>
          <w:sz w:val="36"/>
          <w:szCs w:val="21"/>
        </w:rPr>
      </w:pPr>
    </w:p>
    <w:p w14:paraId="3733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left"/>
        <w:textAlignment w:val="auto"/>
        <w:rPr>
          <w:rFonts w:hint="default" w:ascii="Times New Roman" w:hAnsi="Times New Roman" w:eastAsia="楷体_GB2312" w:cs="Times New Roman"/>
          <w:sz w:val="36"/>
          <w:szCs w:val="21"/>
        </w:rPr>
      </w:pPr>
    </w:p>
    <w:p w14:paraId="5AFD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416" w:leftChars="198" w:firstLine="3" w:firstLineChars="0"/>
        <w:jc w:val="left"/>
        <w:textAlignment w:val="auto"/>
        <w:rPr>
          <w:rFonts w:hint="default" w:ascii="Times New Roman" w:hAnsi="Times New Roman" w:eastAsia="楷体" w:cs="Times New Roman"/>
          <w:sz w:val="32"/>
          <w:szCs w:val="22"/>
        </w:rPr>
      </w:pPr>
      <w:r>
        <w:rPr>
          <w:rFonts w:hint="default" w:ascii="Times New Roman" w:hAnsi="Times New Roman" w:eastAsia="楷体" w:cs="Times New Roman"/>
          <w:spacing w:val="17"/>
          <w:sz w:val="32"/>
          <w:szCs w:val="22"/>
        </w:rPr>
        <w:t>组 别/赛 道：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                      </w:t>
      </w:r>
    </w:p>
    <w:p w14:paraId="364B4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416" w:leftChars="198" w:firstLine="3" w:firstLineChars="0"/>
        <w:jc w:val="left"/>
        <w:textAlignment w:val="auto"/>
        <w:rPr>
          <w:rFonts w:hint="default" w:ascii="Times New Roman" w:hAnsi="Times New Roman" w:eastAsia="楷体" w:cs="Times New Roman"/>
          <w:sz w:val="32"/>
          <w:szCs w:val="22"/>
          <w:u w:val="single"/>
        </w:rPr>
      </w:pPr>
      <w:r>
        <w:rPr>
          <w:rFonts w:hint="default" w:ascii="Times New Roman" w:hAnsi="Times New Roman" w:eastAsia="楷体" w:cs="Times New Roman"/>
          <w:spacing w:val="11"/>
          <w:sz w:val="32"/>
          <w:szCs w:val="22"/>
        </w:rPr>
        <w:t>团 队 名 称：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                      </w:t>
      </w:r>
    </w:p>
    <w:p w14:paraId="1E332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416" w:leftChars="198" w:firstLine="3" w:firstLineChars="0"/>
        <w:jc w:val="left"/>
        <w:textAlignment w:val="auto"/>
        <w:rPr>
          <w:rFonts w:hint="default" w:ascii="Times New Roman" w:hAnsi="Times New Roman" w:eastAsia="楷体" w:cs="Times New Roman"/>
          <w:sz w:val="32"/>
          <w:szCs w:val="22"/>
        </w:rPr>
      </w:pPr>
      <w:r>
        <w:rPr>
          <w:rFonts w:hint="default" w:ascii="Times New Roman" w:hAnsi="Times New Roman" w:eastAsia="楷体" w:cs="Times New Roman"/>
          <w:spacing w:val="11"/>
          <w:sz w:val="32"/>
          <w:szCs w:val="22"/>
          <w:lang w:eastAsia="zh-Hans"/>
        </w:rPr>
        <w:t>项 目</w:t>
      </w:r>
      <w:r>
        <w:rPr>
          <w:rFonts w:hint="default" w:ascii="Times New Roman" w:hAnsi="Times New Roman" w:eastAsia="楷体" w:cs="Times New Roman"/>
          <w:spacing w:val="11"/>
          <w:sz w:val="32"/>
          <w:szCs w:val="22"/>
        </w:rPr>
        <w:t xml:space="preserve"> 名 称：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                      </w:t>
      </w:r>
    </w:p>
    <w:p w14:paraId="1619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416" w:leftChars="198" w:firstLine="3" w:firstLineChars="0"/>
        <w:jc w:val="left"/>
        <w:textAlignment w:val="auto"/>
        <w:rPr>
          <w:rFonts w:hint="default" w:ascii="Times New Roman" w:hAnsi="Times New Roman" w:eastAsia="楷体" w:cs="Times New Roman"/>
          <w:sz w:val="32"/>
          <w:szCs w:val="22"/>
        </w:rPr>
      </w:pPr>
      <w:r>
        <w:rPr>
          <w:rFonts w:hint="default" w:ascii="Times New Roman" w:hAnsi="Times New Roman" w:eastAsia="楷体" w:cs="Times New Roman"/>
          <w:sz w:val="32"/>
          <w:szCs w:val="22"/>
        </w:rPr>
        <w:t>参赛单位名称：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              </w:t>
      </w:r>
      <w:r>
        <w:rPr>
          <w:rFonts w:hint="eastAsia" w:ascii="Times New Roman" w:hAnsi="Times New Roman" w:eastAsia="楷体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</w:t>
      </w:r>
    </w:p>
    <w:p w14:paraId="46B87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416" w:leftChars="198" w:firstLine="3" w:firstLineChars="0"/>
        <w:jc w:val="left"/>
        <w:textAlignment w:val="auto"/>
        <w:rPr>
          <w:rFonts w:hint="default" w:ascii="Times New Roman" w:hAnsi="Times New Roman" w:eastAsia="楷体" w:cs="Times New Roman"/>
          <w:sz w:val="32"/>
          <w:szCs w:val="22"/>
        </w:rPr>
      </w:pPr>
      <w:r>
        <w:rPr>
          <w:rFonts w:hint="default" w:ascii="Times New Roman" w:hAnsi="Times New Roman" w:eastAsia="楷体" w:cs="Times New Roman"/>
          <w:sz w:val="32"/>
          <w:szCs w:val="22"/>
        </w:rPr>
        <w:t>日        期：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         </w:t>
      </w:r>
      <w:r>
        <w:rPr>
          <w:rFonts w:hint="eastAsia" w:ascii="Times New Roman" w:hAnsi="Times New Roman" w:eastAsia="楷体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</w:t>
      </w:r>
    </w:p>
    <w:p w14:paraId="2688A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default" w:ascii="Times New Roman" w:hAnsi="Times New Roman" w:eastAsia="微软雅黑" w:cs="Times New Roman"/>
          <w:sz w:val="36"/>
          <w:szCs w:val="21"/>
        </w:rPr>
      </w:pPr>
    </w:p>
    <w:p w14:paraId="3A747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2160" w:firstLineChars="600"/>
        <w:jc w:val="center"/>
        <w:rPr>
          <w:rFonts w:hint="default" w:ascii="Times New Roman" w:hAnsi="Times New Roman" w:eastAsia="仿宋_GB2312" w:cs="Times New Roman"/>
          <w:bCs/>
          <w:sz w:val="36"/>
          <w:szCs w:val="36"/>
        </w:rPr>
      </w:pPr>
    </w:p>
    <w:p w14:paraId="66E1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2160" w:firstLineChars="600"/>
        <w:jc w:val="center"/>
        <w:rPr>
          <w:rFonts w:hint="default" w:ascii="Times New Roman" w:hAnsi="Times New Roman" w:eastAsia="仿宋_GB2312" w:cs="Times New Roman"/>
          <w:bCs/>
          <w:sz w:val="36"/>
          <w:szCs w:val="36"/>
        </w:rPr>
      </w:pPr>
    </w:p>
    <w:p w14:paraId="598DB0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ind w:firstLine="2160" w:firstLineChars="600"/>
        <w:jc w:val="center"/>
        <w:rPr>
          <w:rFonts w:hint="default" w:ascii="Times New Roman" w:hAnsi="Times New Roman" w:eastAsia="仿宋_GB2312" w:cs="Times New Roman"/>
          <w:bCs/>
          <w:sz w:val="36"/>
          <w:szCs w:val="36"/>
        </w:rPr>
      </w:pPr>
    </w:p>
    <w:p w14:paraId="0FBC7C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jc w:val="center"/>
        <w:rPr>
          <w:rFonts w:hint="default" w:ascii="Times New Roman" w:hAnsi="Times New Roman" w:eastAsia="仿宋_GB2312" w:cs="Times New Roman"/>
          <w:bCs/>
          <w:sz w:val="36"/>
          <w:szCs w:val="36"/>
        </w:rPr>
        <w:sectPr>
          <w:footerReference r:id="rId3" w:type="default"/>
          <w:pgSz w:w="11906" w:h="16838"/>
          <w:pgMar w:top="1871" w:right="1531" w:bottom="1871" w:left="1531" w:header="851" w:footer="1361" w:gutter="0"/>
          <w:pgNumType w:fmt="decimal"/>
          <w:cols w:space="0" w:num="1"/>
          <w:rtlGutter w:val="0"/>
          <w:docGrid w:type="lines" w:linePitch="312" w:charSpace="0"/>
        </w:sectPr>
      </w:pPr>
    </w:p>
    <w:p w14:paraId="40139845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等线" w:cs="Times New Roman"/>
          <w:b/>
          <w:sz w:val="32"/>
          <w:szCs w:val="32"/>
        </w:rPr>
      </w:pPr>
    </w:p>
    <w:p w14:paraId="54A44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录</w:t>
      </w:r>
    </w:p>
    <w:p w14:paraId="332B29CD">
      <w:pPr>
        <w:widowControl w:val="0"/>
        <w:spacing w:after="120" w:line="315" w:lineRule="atLeast"/>
        <w:jc w:val="left"/>
        <w:textAlignment w:val="baseline"/>
        <w:rPr>
          <w:rFonts w:hint="default" w:ascii="宋体" w:hAnsi="Calibri" w:eastAsia="宋体" w:cs="Times New Roman"/>
          <w:kern w:val="0"/>
          <w:sz w:val="21"/>
          <w:szCs w:val="24"/>
          <w:lang w:val="en-US" w:eastAsia="zh-Hans" w:bidi="ar-SA"/>
        </w:rPr>
      </w:pPr>
    </w:p>
    <w:p w14:paraId="27D8322A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TOC \o "1-2" \h \u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"_Toc5375"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参赛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申报书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_Toc5375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4716131D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5" w:lef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"_Toc4143"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一、项目概述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_Toc4143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21330EFF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5" w:lef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"_Toc923"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二、解决方案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_Toc923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1F3BD3F8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5" w:lef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"_Toc14014"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三、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应用成效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限5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000字）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_Toc14014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726B7E8F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5" w:lef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"_Toc25428"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四、商业模式（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限5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000字）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_Toc25428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393126E9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5" w:lef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"_Toc262"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_Toc262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067B2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20A44782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sectPr>
          <w:footerReference r:id="rId4" w:type="default"/>
          <w:pgSz w:w="11906" w:h="16838"/>
          <w:pgMar w:top="1871" w:right="1531" w:bottom="1871" w:left="1531" w:header="851" w:footer="1361" w:gutter="0"/>
          <w:pgNumType w:fmt="decimal" w:start="2"/>
          <w:cols w:space="0" w:num="1"/>
          <w:rtlGutter w:val="0"/>
          <w:docGrid w:type="lines" w:linePitch="312" w:charSpace="0"/>
        </w:sectPr>
      </w:pPr>
      <w:bookmarkStart w:id="2" w:name="_Toc29146"/>
      <w:bookmarkStart w:id="3" w:name="_Toc19007"/>
      <w:bookmarkStart w:id="4" w:name="_Toc1290816000"/>
      <w:bookmarkStart w:id="5" w:name="_Toc358104385"/>
      <w:bookmarkStart w:id="6" w:name="_Toc385777929"/>
      <w:bookmarkStart w:id="7" w:name="_Toc7532"/>
      <w:bookmarkStart w:id="8" w:name="_Toc527995356"/>
      <w:bookmarkStart w:id="9" w:name="_Toc408286828"/>
      <w:bookmarkStart w:id="10" w:name="_Toc42867971"/>
      <w:bookmarkStart w:id="11" w:name="_Toc9425"/>
    </w:p>
    <w:p w14:paraId="302B55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jc w:val="center"/>
        <w:rPr>
          <w:rFonts w:hint="default" w:ascii="Times New Roman" w:hAnsi="Times New Roman" w:eastAsia="方正黑体_GBK" w:cs="Times New Roman"/>
          <w:sz w:val="30"/>
          <w:szCs w:val="30"/>
        </w:rPr>
      </w:pPr>
      <w:bookmarkStart w:id="12" w:name="_Toc7406"/>
      <w:bookmarkStart w:id="13" w:name="_Toc30807"/>
      <w:bookmarkStart w:id="14" w:name="_Toc10327"/>
      <w:bookmarkStart w:id="15" w:name="_Toc10363"/>
      <w:r>
        <w:rPr>
          <w:rFonts w:hint="default" w:ascii="Times New Roman" w:hAnsi="Times New Roman" w:eastAsia="方正黑体_GBK" w:cs="Times New Roman"/>
          <w:sz w:val="30"/>
          <w:szCs w:val="30"/>
        </w:rPr>
        <w:t>第一部分：基本信息</w:t>
      </w:r>
      <w:bookmarkEnd w:id="12"/>
      <w:bookmarkEnd w:id="13"/>
      <w:bookmarkEnd w:id="14"/>
      <w:bookmarkEnd w:id="15"/>
    </w:p>
    <w:tbl>
      <w:tblPr>
        <w:tblStyle w:val="3"/>
        <w:tblW w:w="10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83"/>
        <w:gridCol w:w="491"/>
        <w:gridCol w:w="1357"/>
        <w:gridCol w:w="117"/>
        <w:gridCol w:w="607"/>
        <w:gridCol w:w="237"/>
        <w:gridCol w:w="7"/>
        <w:gridCol w:w="208"/>
        <w:gridCol w:w="551"/>
        <w:gridCol w:w="36"/>
        <w:gridCol w:w="757"/>
        <w:gridCol w:w="644"/>
        <w:gridCol w:w="24"/>
        <w:gridCol w:w="338"/>
        <w:gridCol w:w="589"/>
        <w:gridCol w:w="21"/>
        <w:gridCol w:w="1035"/>
        <w:gridCol w:w="118"/>
        <w:gridCol w:w="830"/>
      </w:tblGrid>
      <w:tr w14:paraId="011F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44" w:type="dxa"/>
            <w:gridSpan w:val="20"/>
          </w:tcPr>
          <w:p w14:paraId="0B9C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（一）项目基本信息</w:t>
            </w:r>
          </w:p>
        </w:tc>
      </w:tr>
      <w:tr w14:paraId="6704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2EA8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*项目名称</w:t>
            </w:r>
          </w:p>
        </w:tc>
        <w:tc>
          <w:tcPr>
            <w:tcW w:w="7967" w:type="dxa"/>
            <w:gridSpan w:val="18"/>
          </w:tcPr>
          <w:p w14:paraId="0AB9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th-TH"/>
              </w:rPr>
            </w:pPr>
          </w:p>
        </w:tc>
      </w:tr>
      <w:tr w14:paraId="32D7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1" w:hRule="atLeast"/>
          <w:jc w:val="center"/>
        </w:trPr>
        <w:tc>
          <w:tcPr>
            <w:tcW w:w="2377" w:type="dxa"/>
            <w:gridSpan w:val="2"/>
            <w:vAlign w:val="center"/>
          </w:tcPr>
          <w:p w14:paraId="24990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*赛道及参赛方向</w:t>
            </w:r>
          </w:p>
          <w:p w14:paraId="5901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（单选）</w:t>
            </w:r>
          </w:p>
        </w:tc>
        <w:tc>
          <w:tcPr>
            <w:tcW w:w="7967" w:type="dxa"/>
            <w:gridSpan w:val="18"/>
            <w:vAlign w:val="center"/>
          </w:tcPr>
          <w:p w14:paraId="5D5D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76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工业制造 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现代农业 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交通运输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th-T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数智创新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数字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健康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气象服务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能源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低碳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数字文保文旅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数字治理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th-T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民生服务（覆盖商贸流通、金融服务、人力资源、体育发展等领域）</w:t>
            </w:r>
          </w:p>
        </w:tc>
      </w:tr>
      <w:tr w14:paraId="019F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6AF1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*项目来源</w:t>
            </w:r>
          </w:p>
        </w:tc>
        <w:tc>
          <w:tcPr>
            <w:tcW w:w="7967" w:type="dxa"/>
            <w:gridSpan w:val="18"/>
          </w:tcPr>
          <w:p w14:paraId="4503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（下拉菜单）各省、自治区、直辖市、新疆建设兵团、推荐渠道（下拉菜单选择）</w:t>
            </w:r>
          </w:p>
        </w:tc>
      </w:tr>
      <w:tr w14:paraId="603C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744D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*项目简述</w:t>
            </w:r>
          </w:p>
        </w:tc>
        <w:tc>
          <w:tcPr>
            <w:tcW w:w="7967" w:type="dxa"/>
            <w:gridSpan w:val="18"/>
          </w:tcPr>
          <w:p w14:paraId="56A1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（介绍参赛项目的背景、拟解决的问题、采用的核心技术/产品、赋能成效等，1000字以内）</w:t>
            </w:r>
          </w:p>
        </w:tc>
      </w:tr>
      <w:tr w14:paraId="3DBF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restart"/>
            <w:vAlign w:val="center"/>
          </w:tcPr>
          <w:p w14:paraId="77C2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*项目覆盖场景（多选）</w:t>
            </w:r>
          </w:p>
        </w:tc>
        <w:tc>
          <w:tcPr>
            <w:tcW w:w="7967" w:type="dxa"/>
            <w:gridSpan w:val="18"/>
          </w:tcPr>
          <w:p w14:paraId="1F74A498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经济发展</w:t>
            </w:r>
          </w:p>
          <w:p w14:paraId="631449FF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研发设计</w:t>
            </w:r>
          </w:p>
          <w:p w14:paraId="7C7204A1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生产制造</w:t>
            </w:r>
          </w:p>
          <w:p w14:paraId="1AA8659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经营管理</w:t>
            </w:r>
          </w:p>
          <w:p w14:paraId="1D845D4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运维服务</w:t>
            </w:r>
          </w:p>
          <w:p w14:paraId="1D779C0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安全生产</w:t>
            </w:r>
          </w:p>
          <w:p w14:paraId="51CACC5D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节能降耗</w:t>
            </w:r>
          </w:p>
          <w:p w14:paraId="2AE71D8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供应链协同</w:t>
            </w:r>
          </w:p>
          <w:p w14:paraId="3C91C67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个性化定制</w:t>
            </w:r>
          </w:p>
          <w:p w14:paraId="05DE42D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产融协同（供应链金融、征信担保等）  </w:t>
            </w:r>
          </w:p>
          <w:p w14:paraId="129A0B5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产教协同（培训、教学等）         </w:t>
            </w:r>
          </w:p>
        </w:tc>
      </w:tr>
      <w:tr w14:paraId="79E6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vAlign w:val="center"/>
          </w:tcPr>
          <w:p w14:paraId="7C8D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67" w:type="dxa"/>
            <w:gridSpan w:val="18"/>
          </w:tcPr>
          <w:p w14:paraId="63878ED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社会治理</w:t>
            </w:r>
          </w:p>
          <w:p w14:paraId="699D638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经济调节</w:t>
            </w:r>
          </w:p>
          <w:p w14:paraId="4B912DF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市场监管</w:t>
            </w:r>
          </w:p>
          <w:p w14:paraId="676BCFA4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社会管理</w:t>
            </w:r>
          </w:p>
          <w:p w14:paraId="10F6968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公共服务</w:t>
            </w:r>
          </w:p>
          <w:p w14:paraId="4ADB1D4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环境保护                      </w:t>
            </w:r>
          </w:p>
        </w:tc>
      </w:tr>
      <w:tr w14:paraId="1397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vAlign w:val="center"/>
          </w:tcPr>
          <w:p w14:paraId="3F20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67" w:type="dxa"/>
            <w:gridSpan w:val="18"/>
          </w:tcPr>
          <w:p w14:paraId="5435823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美好生活</w:t>
            </w:r>
          </w:p>
          <w:p w14:paraId="31186C9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生活消费</w:t>
            </w:r>
          </w:p>
          <w:p w14:paraId="6A26D60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医疗健康</w:t>
            </w:r>
          </w:p>
          <w:p w14:paraId="145AA15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学习教育</w:t>
            </w:r>
          </w:p>
          <w:p w14:paraId="449F487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财务管理</w:t>
            </w:r>
          </w:p>
          <w:p w14:paraId="6733C05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社交互动</w:t>
            </w:r>
          </w:p>
          <w:p w14:paraId="119BD8C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文化旅游</w:t>
            </w:r>
          </w:p>
          <w:p w14:paraId="65C640B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</w:p>
        </w:tc>
      </w:tr>
      <w:tr w14:paraId="63EE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37F8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*数据要素市场化</w:t>
            </w:r>
          </w:p>
          <w:p w14:paraId="62D7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67" w:type="dxa"/>
            <w:gridSpan w:val="18"/>
          </w:tcPr>
          <w:p w14:paraId="5AEE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1 项目服务对象（多选）：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政府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事业单位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企业 □消费者</w:t>
            </w:r>
          </w:p>
          <w:p w14:paraId="3A67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2.项目融合数据类型（多选）： □政务数据□公共数据□企业数据□个人数据</w:t>
            </w:r>
          </w:p>
          <w:p w14:paraId="01FD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3.项目数据来源（必填，如无或敏感可填0）：</w:t>
            </w:r>
          </w:p>
          <w:p w14:paraId="64B0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（1）自有数据：数据量_____（GB），增速_____%</w:t>
            </w:r>
          </w:p>
          <w:p w14:paraId="1FCC1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（2）公开数据：</w:t>
            </w:r>
          </w:p>
          <w:p w14:paraId="6B66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□政府开放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数据量_____（GB）增速_____%</w:t>
            </w:r>
          </w:p>
          <w:p w14:paraId="6D4D3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□公网数据，数据量_____（GB）增速_____%</w:t>
            </w:r>
          </w:p>
          <w:p w14:paraId="1DCB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bidi="ar"/>
              </w:rPr>
              <w:t xml:space="preserve"> 填空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数据量_____（GB）增速_____%</w:t>
            </w:r>
          </w:p>
          <w:p w14:paraId="662D2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FF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（3）公共数据：</w:t>
            </w:r>
          </w:p>
          <w:p w14:paraId="1151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□授权运营数据，数据量_____（GB）增速_____%</w:t>
            </w:r>
          </w:p>
          <w:p w14:paraId="60B6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□其他渠道：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填空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，数据量_____（GB）增速_____%</w:t>
            </w:r>
          </w:p>
          <w:p w14:paraId="0F93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（4）交换数据：</w:t>
            </w:r>
          </w:p>
          <w:p w14:paraId="43675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□合作对象交换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数据量_____（GB）增速_____%</w:t>
            </w:r>
          </w:p>
          <w:p w14:paraId="39D0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□用户上传数据，数据量_____（GB）增速_____%</w:t>
            </w:r>
          </w:p>
          <w:p w14:paraId="79E2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bidi="ar"/>
              </w:rPr>
              <w:t xml:space="preserve"> 填空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数据量_____（GB）增速_____%</w:t>
            </w:r>
          </w:p>
          <w:p w14:paraId="48AF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（5）购买数据：</w:t>
            </w:r>
          </w:p>
          <w:p w14:paraId="714A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□数据商，数据量_____（GB）购数费用支出______（万元），增速   %；</w:t>
            </w:r>
          </w:p>
          <w:p w14:paraId="717C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□数据流通服务平台，数据量_____（GB）购数费用______（万元），增速   %；</w:t>
            </w:r>
          </w:p>
          <w:p w14:paraId="7BA82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□数据交易所（中心），数据量_____（GB）购数费用______（万元），增速   %</w:t>
            </w:r>
          </w:p>
          <w:p w14:paraId="7593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4.项目数据集使用情况</w:t>
            </w:r>
          </w:p>
          <w:p w14:paraId="1003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项目形成的高质量数据集数量（个）：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___，数据量_____（GB），增速   %</w:t>
            </w:r>
          </w:p>
          <w:p w14:paraId="0CCF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trike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项目利用的高质量数据集数量（个）：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___，数据量_____（GB），增速   %</w:t>
            </w:r>
          </w:p>
          <w:p w14:paraId="60F9B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contextualSpacing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5.项目数据类型：</w:t>
            </w:r>
          </w:p>
          <w:p w14:paraId="3020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□结构化数据，占比__%□半结构化数据，占比__%□非结构化，占比__%□其他：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bidi="ar"/>
              </w:rPr>
              <w:t xml:space="preserve">  填空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__占比__%</w:t>
            </w:r>
          </w:p>
          <w:p w14:paraId="25E2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6.提供的数据产品和服务类型：</w:t>
            </w:r>
          </w:p>
          <w:p w14:paraId="504E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资源型数据产品服务：□数据集□包含数据资源的数据库□其他</w:t>
            </w:r>
          </w:p>
          <w:p w14:paraId="5529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分析决策型数据产品服务：□查询服务□接口服务□指数服务□咨询报告□终端服务□其他</w:t>
            </w:r>
          </w:p>
          <w:p w14:paraId="3445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智能生成型数据产品服务：□大模型服务□智能体服务□其他</w:t>
            </w:r>
          </w:p>
          <w:p w14:paraId="2A4A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第三方专业服务：□数据清洗□数据标注□数据质检□数据评测□数据合规□价值评估□其他</w:t>
            </w:r>
          </w:p>
        </w:tc>
      </w:tr>
      <w:tr w14:paraId="7AAA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  <w:jc w:val="center"/>
        </w:trPr>
        <w:tc>
          <w:tcPr>
            <w:tcW w:w="2377" w:type="dxa"/>
            <w:gridSpan w:val="2"/>
            <w:vAlign w:val="center"/>
          </w:tcPr>
          <w:p w14:paraId="4E28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*数据要素价值化</w:t>
            </w:r>
          </w:p>
        </w:tc>
        <w:tc>
          <w:tcPr>
            <w:tcW w:w="7967" w:type="dxa"/>
            <w:gridSpan w:val="18"/>
          </w:tcPr>
          <w:p w14:paraId="403F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1.上年度项目服务的客户数量（以合同为准，无填0）：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</w:t>
            </w:r>
          </w:p>
          <w:p w14:paraId="3BC7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其中，政府部门：国家级____省级____  地市级____   </w:t>
            </w:r>
          </w:p>
          <w:p w14:paraId="24FF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科研院所____  高校____ 事业单位____  </w:t>
            </w:r>
          </w:p>
          <w:p w14:paraId="1B04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大企业____ 中型企业____  小微企业____  </w:t>
            </w:r>
          </w:p>
          <w:p w14:paraId="3F6C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个人用户____  </w:t>
            </w:r>
          </w:p>
          <w:p w14:paraId="1AC8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2. 项目适用行业：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（选择已落地服务的行业，精确到行业中类，数量不限）</w:t>
            </w:r>
          </w:p>
          <w:p w14:paraId="7738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3. 已实现落地应用的代表性案例（可增加，无数量限制）</w:t>
            </w:r>
          </w:p>
          <w:p w14:paraId="2911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tbl>
            <w:tblPr>
              <w:tblStyle w:val="3"/>
              <w:tblW w:w="765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3"/>
              <w:gridCol w:w="1011"/>
              <w:gridCol w:w="1011"/>
              <w:gridCol w:w="1368"/>
              <w:gridCol w:w="1499"/>
              <w:gridCol w:w="1835"/>
            </w:tblGrid>
            <w:tr w14:paraId="5EF870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  <w:jc w:val="center"/>
              </w:trPr>
              <w:tc>
                <w:tcPr>
                  <w:tcW w:w="933" w:type="dxa"/>
                  <w:vAlign w:val="center"/>
                </w:tcPr>
                <w:p w14:paraId="7C87DC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应用单位名称</w:t>
                  </w:r>
                </w:p>
              </w:tc>
              <w:tc>
                <w:tcPr>
                  <w:tcW w:w="1011" w:type="dxa"/>
                  <w:vAlign w:val="center"/>
                </w:tcPr>
                <w:p w14:paraId="59FB3B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单位类型</w:t>
                  </w:r>
                </w:p>
              </w:tc>
              <w:tc>
                <w:tcPr>
                  <w:tcW w:w="1011" w:type="dxa"/>
                  <w:vAlign w:val="center"/>
                </w:tcPr>
                <w:p w14:paraId="24247E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如是企业，企业规模</w:t>
                  </w:r>
                </w:p>
              </w:tc>
              <w:tc>
                <w:tcPr>
                  <w:tcW w:w="1368" w:type="dxa"/>
                  <w:vAlign w:val="center"/>
                </w:tcPr>
                <w:p w14:paraId="17BC03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所属省份</w:t>
                  </w:r>
                </w:p>
              </w:tc>
              <w:tc>
                <w:tcPr>
                  <w:tcW w:w="1499" w:type="dxa"/>
                  <w:vAlign w:val="center"/>
                </w:tcPr>
                <w:p w14:paraId="18BB46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所属行业</w:t>
                  </w:r>
                </w:p>
              </w:tc>
              <w:tc>
                <w:tcPr>
                  <w:tcW w:w="1835" w:type="dxa"/>
                  <w:vAlign w:val="center"/>
                </w:tcPr>
                <w:p w14:paraId="2D66D9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实施起止时间</w:t>
                  </w:r>
                </w:p>
              </w:tc>
            </w:tr>
            <w:tr w14:paraId="50AEC6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4" w:hRule="atLeast"/>
                <w:jc w:val="center"/>
              </w:trPr>
              <w:tc>
                <w:tcPr>
                  <w:tcW w:w="933" w:type="dxa"/>
                  <w:vAlign w:val="center"/>
                </w:tcPr>
                <w:p w14:paraId="2804AB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523686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政府机构/科研院所/高校/事业单位/企业</w:t>
                  </w:r>
                </w:p>
              </w:tc>
              <w:tc>
                <w:tcPr>
                  <w:tcW w:w="1011" w:type="dxa"/>
                  <w:vAlign w:val="center"/>
                </w:tcPr>
                <w:p w14:paraId="773E09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(大、中、小微)</w:t>
                  </w:r>
                </w:p>
              </w:tc>
              <w:tc>
                <w:tcPr>
                  <w:tcW w:w="1368" w:type="dxa"/>
                  <w:vAlign w:val="center"/>
                </w:tcPr>
                <w:p w14:paraId="0ED0A4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下拉菜单</w:t>
                  </w:r>
                </w:p>
              </w:tc>
              <w:tc>
                <w:tcPr>
                  <w:tcW w:w="1499" w:type="dxa"/>
                  <w:vAlign w:val="center"/>
                </w:tcPr>
                <w:p w14:paraId="0DA5AF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下拉菜单</w:t>
                  </w:r>
                </w:p>
              </w:tc>
              <w:tc>
                <w:tcPr>
                  <w:tcW w:w="1835" w:type="dxa"/>
                  <w:vAlign w:val="center"/>
                </w:tcPr>
                <w:p w14:paraId="09CFFE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ind w:firstLine="240" w:firstLineChars="100"/>
                    <w:jc w:val="righ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年   月 —</w:t>
                  </w:r>
                </w:p>
                <w:p w14:paraId="723B68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right"/>
                    <w:rPr>
                      <w:rFonts w:hint="default" w:ascii="仿宋_GB2312" w:hAnsi="仿宋_GB2312" w:eastAsia="仿宋_GB2312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年   月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CN"/>
                    </w:rPr>
                    <w:t xml:space="preserve">   </w:t>
                  </w:r>
                </w:p>
              </w:tc>
            </w:tr>
            <w:tr w14:paraId="2C6AB2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4" w:hRule="atLeast"/>
                <w:jc w:val="center"/>
              </w:trPr>
              <w:tc>
                <w:tcPr>
                  <w:tcW w:w="933" w:type="dxa"/>
                  <w:vAlign w:val="center"/>
                </w:tcPr>
                <w:p w14:paraId="739870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合同额（万）</w:t>
                  </w:r>
                </w:p>
              </w:tc>
              <w:tc>
                <w:tcPr>
                  <w:tcW w:w="2022" w:type="dxa"/>
                  <w:gridSpan w:val="2"/>
                  <w:shd w:val="clear" w:color="auto" w:fill="auto"/>
                  <w:vAlign w:val="center"/>
                </w:tcPr>
                <w:p w14:paraId="3A7574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应用需求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14:paraId="0FB242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应用场景</w:t>
                  </w:r>
                </w:p>
              </w:tc>
              <w:tc>
                <w:tcPr>
                  <w:tcW w:w="1499" w:type="dxa"/>
                  <w:shd w:val="clear" w:color="auto" w:fill="auto"/>
                  <w:vAlign w:val="center"/>
                </w:tcPr>
                <w:p w14:paraId="497ED6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应用成效</w:t>
                  </w:r>
                </w:p>
              </w:tc>
              <w:tc>
                <w:tcPr>
                  <w:tcW w:w="1835" w:type="dxa"/>
                  <w:vAlign w:val="center"/>
                </w:tcPr>
                <w:p w14:paraId="7615DD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合同证明</w:t>
                  </w:r>
                </w:p>
              </w:tc>
            </w:tr>
            <w:tr w14:paraId="03C42D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5" w:hRule="atLeast"/>
                <w:jc w:val="center"/>
              </w:trPr>
              <w:tc>
                <w:tcPr>
                  <w:tcW w:w="933" w:type="dxa"/>
                  <w:vAlign w:val="center"/>
                </w:tcPr>
                <w:p w14:paraId="45B584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2022" w:type="dxa"/>
                  <w:gridSpan w:val="2"/>
                  <w:shd w:val="clear" w:color="auto" w:fill="auto"/>
                  <w:vAlign w:val="center"/>
                </w:tcPr>
                <w:p w14:paraId="70CBCF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分条列出，限200字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14:paraId="01146F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限300字</w:t>
                  </w:r>
                </w:p>
              </w:tc>
              <w:tc>
                <w:tcPr>
                  <w:tcW w:w="1499" w:type="dxa"/>
                  <w:shd w:val="clear" w:color="auto" w:fill="auto"/>
                  <w:vAlign w:val="center"/>
                </w:tcPr>
                <w:p w14:paraId="615A0E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限200字</w:t>
                  </w:r>
                </w:p>
              </w:tc>
              <w:tc>
                <w:tcPr>
                  <w:tcW w:w="1835" w:type="dxa"/>
                  <w:vAlign w:val="center"/>
                </w:tcPr>
                <w:p w14:paraId="228C81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上传附件</w:t>
                  </w:r>
                </w:p>
              </w:tc>
            </w:tr>
          </w:tbl>
          <w:p w14:paraId="72EA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4.项目市场收入（万元，以合同为准，无填0）</w:t>
            </w:r>
          </w:p>
          <w:p w14:paraId="4897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2024年________ 2025年________ 2026年（预期）________</w:t>
            </w:r>
          </w:p>
          <w:p w14:paraId="7434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5.项目开发成本（万元/年）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数据合规成本（万元/年）：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</w:p>
          <w:p w14:paraId="42F2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6.项目应用成效（至少填2项）</w:t>
            </w:r>
          </w:p>
          <w:p w14:paraId="7F63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（1）管理价值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（填空）</w:t>
            </w:r>
          </w:p>
          <w:p w14:paraId="0649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降低成本（万元）：</w:t>
            </w:r>
          </w:p>
          <w:p w14:paraId="4AD0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降低管理成本：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、降低生产成本：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、降低流转成本：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、降低人力成本：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</w:p>
          <w:p w14:paraId="6C5B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提高效率（%）：</w:t>
            </w:r>
          </w:p>
          <w:p w14:paraId="699B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ind w:left="720" w:hanging="720" w:hanging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提高工作效率：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、提高工作准确率：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、缩短交付周期：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、其他：</w:t>
            </w:r>
          </w:p>
          <w:p w14:paraId="6E84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ind w:left="720" w:hanging="720" w:hanging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</w:p>
          <w:p w14:paraId="3B777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（2）市场价值：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（填空）</w:t>
            </w:r>
          </w:p>
          <w:p w14:paraId="6F58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订单增长：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（%）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、市场份额增长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（%）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、带动合作伙伴/上下游企业协同：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（家）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</w:p>
          <w:p w14:paraId="4DDA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形成专利（个）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形成软著（个）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</w:p>
          <w:p w14:paraId="362D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（3）社会价值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：（填空）</w:t>
            </w:r>
          </w:p>
          <w:p w14:paraId="686E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促进就业（人）：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绿色减碳（吨）：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普惠服务（人）：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</w:p>
          <w:p w14:paraId="1C24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形成标准（个）：国家标准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、行业标准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、地方标准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、团体标准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、企业标准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</w:p>
          <w:p w14:paraId="045A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其他: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_   _</w:t>
            </w:r>
          </w:p>
        </w:tc>
      </w:tr>
      <w:tr w14:paraId="5BFC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344" w:type="dxa"/>
            <w:gridSpan w:val="20"/>
            <w:tcBorders>
              <w:top w:val="single" w:color="auto" w:sz="12" w:space="0"/>
            </w:tcBorders>
          </w:tcPr>
          <w:p w14:paraId="316D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（二）参赛团队信息</w:t>
            </w:r>
          </w:p>
        </w:tc>
      </w:tr>
      <w:tr w14:paraId="42CB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344" w:type="dxa"/>
            <w:gridSpan w:val="20"/>
            <w:tcBorders>
              <w:top w:val="single" w:color="auto" w:sz="12" w:space="0"/>
            </w:tcBorders>
            <w:vAlign w:val="center"/>
          </w:tcPr>
          <w:p w14:paraId="28EAD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*团队名称：</w:t>
            </w:r>
          </w:p>
        </w:tc>
      </w:tr>
      <w:tr w14:paraId="0BEE4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</w:tcBorders>
            <w:vAlign w:val="center"/>
          </w:tcPr>
          <w:p w14:paraId="5A71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*团队成员</w:t>
            </w:r>
          </w:p>
          <w:p w14:paraId="7F47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（最多添加5名）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950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E54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8CB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8E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bidi="th-T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C4E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trike/>
                <w:sz w:val="24"/>
                <w:lang w:bidi="th-T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972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9F0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88C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项目中主要承担的角色（50字）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356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是否团队联络人</w:t>
            </w:r>
          </w:p>
        </w:tc>
      </w:tr>
      <w:tr w14:paraId="0697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vAlign w:val="center"/>
          </w:tcPr>
          <w:p w14:paraId="5215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7F09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5259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093E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34C5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2407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3663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</w:tcBorders>
          </w:tcPr>
          <w:p w14:paraId="3463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7AEE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AE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vAlign w:val="center"/>
          </w:tcPr>
          <w:p w14:paraId="0164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7765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23AB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7026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13E6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259C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00FA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</w:tcBorders>
          </w:tcPr>
          <w:p w14:paraId="5E8E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378C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8C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344" w:type="dxa"/>
            <w:gridSpan w:val="20"/>
            <w:tcBorders>
              <w:top w:val="single" w:color="auto" w:sz="12" w:space="0"/>
            </w:tcBorders>
          </w:tcPr>
          <w:p w14:paraId="6FF8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（三）参赛单位基本信息（单位可增加，最多五家）</w:t>
            </w:r>
          </w:p>
        </w:tc>
      </w:tr>
      <w:tr w14:paraId="6064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77" w:type="dxa"/>
            <w:gridSpan w:val="2"/>
            <w:vAlign w:val="center"/>
          </w:tcPr>
          <w:p w14:paraId="2213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*单位名称</w:t>
            </w:r>
          </w:p>
        </w:tc>
        <w:tc>
          <w:tcPr>
            <w:tcW w:w="7967" w:type="dxa"/>
            <w:gridSpan w:val="18"/>
          </w:tcPr>
          <w:p w14:paraId="4C32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7D0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vAlign w:val="center"/>
          </w:tcPr>
          <w:p w14:paraId="0C87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*统一社会信用代码</w:t>
            </w:r>
          </w:p>
        </w:tc>
        <w:tc>
          <w:tcPr>
            <w:tcW w:w="2809" w:type="dxa"/>
            <w:gridSpan w:val="5"/>
          </w:tcPr>
          <w:p w14:paraId="0F92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5"/>
          </w:tcPr>
          <w:p w14:paraId="1CB9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*成立时间</w:t>
            </w:r>
          </w:p>
        </w:tc>
        <w:tc>
          <w:tcPr>
            <w:tcW w:w="3599" w:type="dxa"/>
            <w:gridSpan w:val="8"/>
          </w:tcPr>
          <w:p w14:paraId="0691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33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vAlign w:val="center"/>
          </w:tcPr>
          <w:p w14:paraId="16F2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*地址</w:t>
            </w:r>
          </w:p>
        </w:tc>
        <w:tc>
          <w:tcPr>
            <w:tcW w:w="2809" w:type="dxa"/>
            <w:gridSpan w:val="5"/>
          </w:tcPr>
          <w:p w14:paraId="65D3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国省市区  </w:t>
            </w:r>
          </w:p>
        </w:tc>
        <w:tc>
          <w:tcPr>
            <w:tcW w:w="1559" w:type="dxa"/>
            <w:gridSpan w:val="5"/>
          </w:tcPr>
          <w:p w14:paraId="39DC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*单位性质（单选）</w:t>
            </w:r>
          </w:p>
        </w:tc>
        <w:tc>
          <w:tcPr>
            <w:tcW w:w="3599" w:type="dxa"/>
            <w:gridSpan w:val="8"/>
          </w:tcPr>
          <w:p w14:paraId="23E9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政府机构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央企 □地方国企 □民营 □外资 □合资 □科研院校 □其他：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</w:p>
        </w:tc>
      </w:tr>
      <w:tr w14:paraId="6607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vAlign w:val="center"/>
          </w:tcPr>
          <w:p w14:paraId="020A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*是否央企子公司</w:t>
            </w:r>
          </w:p>
        </w:tc>
        <w:tc>
          <w:tcPr>
            <w:tcW w:w="2809" w:type="dxa"/>
            <w:gridSpan w:val="5"/>
          </w:tcPr>
          <w:p w14:paraId="6A64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是/否 母公司：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</w:p>
        </w:tc>
        <w:tc>
          <w:tcPr>
            <w:tcW w:w="1559" w:type="dxa"/>
            <w:gridSpan w:val="5"/>
          </w:tcPr>
          <w:p w14:paraId="5C77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企业规模（企业填）</w:t>
            </w:r>
          </w:p>
        </w:tc>
        <w:tc>
          <w:tcPr>
            <w:tcW w:w="3599" w:type="dxa"/>
            <w:gridSpan w:val="8"/>
          </w:tcPr>
          <w:p w14:paraId="41A0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大型企业 □中型企业 □小微企业</w:t>
            </w:r>
          </w:p>
        </w:tc>
      </w:tr>
      <w:tr w14:paraId="7FD6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vAlign w:val="center"/>
          </w:tcPr>
          <w:p w14:paraId="70C53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*联系人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4CEA2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3" w:type="dxa"/>
            <w:gridSpan w:val="7"/>
            <w:shd w:val="clear" w:color="auto" w:fill="auto"/>
            <w:vAlign w:val="center"/>
          </w:tcPr>
          <w:p w14:paraId="26255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*职务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14:paraId="1603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14:paraId="06AC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*联系方式</w:t>
            </w:r>
          </w:p>
        </w:tc>
        <w:tc>
          <w:tcPr>
            <w:tcW w:w="830" w:type="dxa"/>
            <w:shd w:val="clear" w:color="auto" w:fill="auto"/>
          </w:tcPr>
          <w:p w14:paraId="3D33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FF3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vAlign w:val="center"/>
          </w:tcPr>
          <w:p w14:paraId="6C4B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*单位简介</w:t>
            </w:r>
          </w:p>
        </w:tc>
        <w:tc>
          <w:tcPr>
            <w:tcW w:w="7967" w:type="dxa"/>
            <w:gridSpan w:val="18"/>
            <w:shd w:val="clear" w:color="auto" w:fill="auto"/>
          </w:tcPr>
          <w:p w14:paraId="6AF7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（不超过300字）</w:t>
            </w:r>
          </w:p>
          <w:p w14:paraId="5B26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简要介绍发展历程、主营业务和市场地位等情况。</w:t>
            </w:r>
          </w:p>
        </w:tc>
      </w:tr>
      <w:tr w14:paraId="3118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7" w:type="dxa"/>
            <w:gridSpan w:val="2"/>
            <w:shd w:val="clear" w:color="auto" w:fill="auto"/>
            <w:vAlign w:val="center"/>
          </w:tcPr>
          <w:p w14:paraId="72C3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*核心能力</w:t>
            </w:r>
          </w:p>
        </w:tc>
        <w:tc>
          <w:tcPr>
            <w:tcW w:w="7967" w:type="dxa"/>
            <w:gridSpan w:val="18"/>
            <w:shd w:val="clear" w:color="auto" w:fill="auto"/>
          </w:tcPr>
          <w:p w14:paraId="6062D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（不超过600字）</w:t>
            </w:r>
          </w:p>
          <w:p w14:paraId="5681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企业在数据领域研发创新、专业技术和产品服务能力、人才队伍等方面的竞争力。</w:t>
            </w:r>
          </w:p>
        </w:tc>
      </w:tr>
      <w:tr w14:paraId="21F3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vAlign w:val="center"/>
          </w:tcPr>
          <w:p w14:paraId="5CBA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*营收（万元）</w:t>
            </w:r>
          </w:p>
        </w:tc>
        <w:tc>
          <w:tcPr>
            <w:tcW w:w="2572" w:type="dxa"/>
            <w:gridSpan w:val="4"/>
            <w:vAlign w:val="center"/>
          </w:tcPr>
          <w:p w14:paraId="689DC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增速:   %</w:t>
            </w:r>
          </w:p>
        </w:tc>
        <w:tc>
          <w:tcPr>
            <w:tcW w:w="2464" w:type="dxa"/>
            <w:gridSpan w:val="8"/>
            <w:vAlign w:val="center"/>
          </w:tcPr>
          <w:p w14:paraId="535F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*利润（万元）: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增速:   %</w:t>
            </w:r>
          </w:p>
        </w:tc>
        <w:tc>
          <w:tcPr>
            <w:tcW w:w="2931" w:type="dxa"/>
            <w:gridSpan w:val="6"/>
            <w:vAlign w:val="center"/>
          </w:tcPr>
          <w:p w14:paraId="16BB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增速:   %</w:t>
            </w:r>
          </w:p>
          <w:p w14:paraId="5438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01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vAlign w:val="center"/>
          </w:tcPr>
          <w:p w14:paraId="1755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其中，数据相关收入（万元）</w:t>
            </w:r>
          </w:p>
        </w:tc>
        <w:tc>
          <w:tcPr>
            <w:tcW w:w="7967" w:type="dxa"/>
            <w:gridSpan w:val="18"/>
            <w:vAlign w:val="center"/>
          </w:tcPr>
          <w:p w14:paraId="0FCD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2025年：   增速:     %</w:t>
            </w:r>
          </w:p>
        </w:tc>
      </w:tr>
      <w:tr w14:paraId="005B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vAlign w:val="center"/>
          </w:tcPr>
          <w:p w14:paraId="51A6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数据资产入表金额（万元）</w:t>
            </w:r>
          </w:p>
        </w:tc>
        <w:tc>
          <w:tcPr>
            <w:tcW w:w="7967" w:type="dxa"/>
            <w:gridSpan w:val="18"/>
            <w:vAlign w:val="center"/>
          </w:tcPr>
          <w:p w14:paraId="47AC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2025年：     增速:        %</w:t>
            </w:r>
          </w:p>
        </w:tc>
      </w:tr>
      <w:tr w14:paraId="173C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442B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*数据治理投入（万元）</w:t>
            </w:r>
          </w:p>
        </w:tc>
        <w:tc>
          <w:tcPr>
            <w:tcW w:w="2572" w:type="dxa"/>
            <w:gridSpan w:val="4"/>
            <w:vAlign w:val="center"/>
          </w:tcPr>
          <w:p w14:paraId="15CE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  <w:tc>
          <w:tcPr>
            <w:tcW w:w="2464" w:type="dxa"/>
            <w:gridSpan w:val="8"/>
            <w:vAlign w:val="center"/>
          </w:tcPr>
          <w:p w14:paraId="791C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*数据产品服务开发投入（万元）</w:t>
            </w:r>
          </w:p>
        </w:tc>
        <w:tc>
          <w:tcPr>
            <w:tcW w:w="2931" w:type="dxa"/>
            <w:gridSpan w:val="6"/>
            <w:vAlign w:val="center"/>
          </w:tcPr>
          <w:p w14:paraId="3CA8D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</w:tr>
      <w:tr w14:paraId="4825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1A28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*获取外部数据投入（万元）</w:t>
            </w:r>
          </w:p>
        </w:tc>
        <w:tc>
          <w:tcPr>
            <w:tcW w:w="7967" w:type="dxa"/>
            <w:gridSpan w:val="18"/>
            <w:vAlign w:val="center"/>
          </w:tcPr>
          <w:p w14:paraId="2C27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</w:tr>
      <w:tr w14:paraId="4BA8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1182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*词元（Token）消耗量（亿/年）</w:t>
            </w:r>
          </w:p>
        </w:tc>
        <w:tc>
          <w:tcPr>
            <w:tcW w:w="3024" w:type="dxa"/>
            <w:gridSpan w:val="7"/>
            <w:vAlign w:val="center"/>
          </w:tcPr>
          <w:p w14:paraId="133E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  <w:tc>
          <w:tcPr>
            <w:tcW w:w="2939" w:type="dxa"/>
            <w:gridSpan w:val="7"/>
            <w:vAlign w:val="center"/>
          </w:tcPr>
          <w:p w14:paraId="0752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*词元（Token）支出（万元/年）</w:t>
            </w:r>
          </w:p>
        </w:tc>
        <w:tc>
          <w:tcPr>
            <w:tcW w:w="2004" w:type="dxa"/>
            <w:gridSpan w:val="4"/>
            <w:vAlign w:val="center"/>
          </w:tcPr>
          <w:p w14:paraId="4E4F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</w:tr>
      <w:tr w14:paraId="6561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07F5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400" w:lineRule="exact"/>
              <w:rPr>
                <w:rFonts w:hint="eastAsia" w:ascii="仿宋_GB2312" w:hAnsi="仿宋_GB2312" w:eastAsia="仿宋_GB2312" w:cs="仿宋_GB2312"/>
                <w:spacing w:val="-2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*其中，智能体词元（token）消耗量占比（%）</w:t>
            </w:r>
          </w:p>
        </w:tc>
        <w:tc>
          <w:tcPr>
            <w:tcW w:w="3024" w:type="dxa"/>
            <w:gridSpan w:val="7"/>
            <w:vAlign w:val="center"/>
          </w:tcPr>
          <w:p w14:paraId="7B32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  <w:tc>
          <w:tcPr>
            <w:tcW w:w="2939" w:type="dxa"/>
            <w:gridSpan w:val="7"/>
            <w:vAlign w:val="center"/>
          </w:tcPr>
          <w:p w14:paraId="6815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*智能体词元（Token）消耗费用占比（%）</w:t>
            </w:r>
          </w:p>
        </w:tc>
        <w:tc>
          <w:tcPr>
            <w:tcW w:w="2004" w:type="dxa"/>
            <w:gridSpan w:val="4"/>
            <w:vAlign w:val="center"/>
          </w:tcPr>
          <w:p w14:paraId="4348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</w:tr>
      <w:tr w14:paraId="15FB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377" w:type="dxa"/>
            <w:gridSpan w:val="2"/>
            <w:vAlign w:val="center"/>
          </w:tcPr>
          <w:p w14:paraId="7DF1E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ind w:firstLine="241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*数据开发利用</w:t>
            </w:r>
          </w:p>
        </w:tc>
        <w:tc>
          <w:tcPr>
            <w:tcW w:w="7967" w:type="dxa"/>
            <w:gridSpan w:val="18"/>
            <w:vAlign w:val="center"/>
          </w:tcPr>
          <w:p w14:paraId="44DA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1数据产品服务供给能力（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请填写2025年相关数据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3135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高质量数据集数量（个）：___________ </w:t>
            </w:r>
            <w:bookmarkStart w:id="75" w:name="_GoBack"/>
            <w:bookmarkEnd w:id="75"/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。其中，直接交易的数量（个）________；通过数据交易所（中心）交易的数量（个）：_____；通过数据商交易的数量（个）：_____ ，年交易次数（个）________；通过数据流通服务平台交易的数量（个）：_____ ，年交易次数（个）________。</w:t>
            </w:r>
          </w:p>
          <w:p w14:paraId="4E0C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分析决策型数据产品服务数量（个）：___________ 。其中，直接交易的数量（个）________；通过数据交易所（中心）流通的数量（个）：_____ ；通过数据商流通的数量（个）：_____ ；通过数据流通服务平台交易的数量（个）：_____ 。</w:t>
            </w:r>
          </w:p>
          <w:p w14:paraId="03ED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智能生成型数据产品服务数量（个）：___________ 。其中，直接交易的数量（个）________；通过数据交易所（中心）交易的数量（个）：_____ ；通过数据商交易的数量（个）：_____ ；通过数据流通服务平台交易的数量（个）：_____ 。</w:t>
            </w:r>
          </w:p>
          <w:p w14:paraId="2B6D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2数据治理能力</w:t>
            </w:r>
          </w:p>
          <w:p w14:paraId="4E00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（1）标准化处理的数据占数据存储总量比例（%）：___________</w:t>
            </w:r>
          </w:p>
          <w:p w14:paraId="128B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（2）用于开发利用的数据占数据存储总量比例（%）：___________</w:t>
            </w:r>
          </w:p>
          <w:p w14:paraId="6953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专业化服务能力</w:t>
            </w:r>
          </w:p>
          <w:p w14:paraId="4092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数据处理：□数据清洗□数据标注□数据集建设□其他</w:t>
            </w:r>
          </w:p>
          <w:p w14:paraId="2E43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数据流通：□交易撮合 □信息匹配 □数据跨境 □其他</w:t>
            </w:r>
          </w:p>
          <w:p w14:paraId="0394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数据分析：□大模型 □行业模型 □智能体□其他</w:t>
            </w:r>
          </w:p>
          <w:p w14:paraId="001E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数据咨询：□查询服务□接口服务□指数服务□咨询报告□终端服务□其他</w:t>
            </w:r>
          </w:p>
          <w:p w14:paraId="789F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数据合规：□数据质检□数据评测□其他</w:t>
            </w:r>
          </w:p>
          <w:p w14:paraId="67EE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4基础设施保障能力</w:t>
            </w:r>
          </w:p>
          <w:p w14:paraId="3DF0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（1）算力来源：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□本地部署 □公共云算力 □混合云算力</w:t>
            </w:r>
          </w:p>
          <w:p w14:paraId="60A2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（2）存力来源：□本地存储 □公共云存储 □混合云存储</w:t>
            </w:r>
          </w:p>
          <w:p w14:paraId="54A0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（3）算法来源：□自主研发 □联合研发  □二次开发 □组合创新</w:t>
            </w:r>
          </w:p>
        </w:tc>
      </w:tr>
      <w:tr w14:paraId="17EF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77" w:type="dxa"/>
            <w:gridSpan w:val="2"/>
            <w:vMerge w:val="restart"/>
            <w:vAlign w:val="center"/>
          </w:tcPr>
          <w:p w14:paraId="3146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上市融资情况</w:t>
            </w:r>
          </w:p>
        </w:tc>
        <w:tc>
          <w:tcPr>
            <w:tcW w:w="7967" w:type="dxa"/>
            <w:gridSpan w:val="18"/>
          </w:tcPr>
          <w:p w14:paraId="596A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是否上市公司：□是、□否</w:t>
            </w:r>
          </w:p>
          <w:p w14:paraId="4D09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融资阶段：□无计划、□天使轮、□A轮、□B轮、□C轮、□D轮、□申报上市，□已上市</w:t>
            </w:r>
          </w:p>
        </w:tc>
      </w:tr>
      <w:tr w14:paraId="51EC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77" w:type="dxa"/>
            <w:gridSpan w:val="2"/>
            <w:vMerge w:val="continue"/>
            <w:vAlign w:val="center"/>
          </w:tcPr>
          <w:p w14:paraId="60A2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67" w:type="dxa"/>
            <w:gridSpan w:val="18"/>
          </w:tcPr>
          <w:p w14:paraId="2864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融资总额：____（万元）  </w:t>
            </w:r>
          </w:p>
        </w:tc>
      </w:tr>
      <w:tr w14:paraId="529D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7" w:type="dxa"/>
            <w:gridSpan w:val="2"/>
            <w:vAlign w:val="center"/>
          </w:tcPr>
          <w:p w14:paraId="751D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近期有融资需求</w:t>
            </w:r>
          </w:p>
        </w:tc>
        <w:tc>
          <w:tcPr>
            <w:tcW w:w="7967" w:type="dxa"/>
            <w:gridSpan w:val="18"/>
          </w:tcPr>
          <w:p w14:paraId="3D59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是/否</w:t>
            </w:r>
          </w:p>
        </w:tc>
      </w:tr>
    </w:tbl>
    <w:p w14:paraId="3AC1EB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jc w:val="center"/>
        <w:rPr>
          <w:rFonts w:hint="default" w:ascii="Times New Roman" w:hAnsi="Times New Roman" w:eastAsia="等线" w:cs="Times New Roman"/>
          <w:color w:val="000000"/>
          <w:szCs w:val="21"/>
        </w:rPr>
      </w:pPr>
      <w:r>
        <w:rPr>
          <w:rFonts w:hint="default" w:ascii="Times New Roman" w:hAnsi="Times New Roman" w:eastAsia="等线" w:cs="Times New Roman"/>
          <w:color w:val="000000"/>
          <w:szCs w:val="21"/>
        </w:rPr>
        <w:br w:type="page"/>
      </w:r>
    </w:p>
    <w:p w14:paraId="4379F9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jc w:val="center"/>
        <w:rPr>
          <w:rFonts w:hint="default" w:ascii="Times New Roman" w:hAnsi="Times New Roman" w:eastAsia="方正小标宋_GBK" w:cs="Times New Roman"/>
          <w:sz w:val="38"/>
          <w:szCs w:val="38"/>
        </w:rPr>
      </w:pPr>
    </w:p>
    <w:p w14:paraId="1864D6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jc w:val="center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第二部分：参赛项目介绍</w:t>
      </w:r>
    </w:p>
    <w:p w14:paraId="5426C8C1">
      <w:pPr>
        <w:widowControl w:val="0"/>
        <w:spacing w:after="120" w:line="315" w:lineRule="atLeast"/>
        <w:jc w:val="left"/>
        <w:textAlignment w:val="baseline"/>
        <w:rPr>
          <w:rFonts w:hint="default" w:ascii="宋体" w:hAnsi="Calibri" w:eastAsia="宋体" w:cs="Times New Roman"/>
          <w:kern w:val="0"/>
          <w:sz w:val="21"/>
          <w:szCs w:val="24"/>
          <w:lang w:val="en-US" w:eastAsia="zh-CN" w:bidi="ar-SA"/>
        </w:rPr>
      </w:pPr>
    </w:p>
    <w:p w14:paraId="19EC6540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</w:pPr>
      <w:bookmarkStart w:id="16" w:name="_Toc4143"/>
      <w:r>
        <w:rPr>
          <w:rFonts w:hint="default" w:ascii="Times New Roman" w:hAnsi="Times New Roman" w:eastAsia="方正黑体_GBK" w:cs="Times New Roman"/>
          <w:sz w:val="32"/>
          <w:szCs w:val="32"/>
        </w:rPr>
        <w:t>一、项目概述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6"/>
    </w:p>
    <w:p w14:paraId="740D8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17" w:name="_Toc22227"/>
      <w:bookmarkStart w:id="18" w:name="_Toc27115"/>
      <w:bookmarkStart w:id="19" w:name="_Toc615518888"/>
      <w:bookmarkStart w:id="20" w:name="_Toc866466031"/>
      <w:bookmarkStart w:id="21" w:name="_Toc11307"/>
      <w:r>
        <w:rPr>
          <w:rFonts w:hint="default" w:ascii="Times New Roman" w:hAnsi="Times New Roman" w:eastAsia="楷体_GB2312" w:cs="Times New Roman"/>
          <w:sz w:val="32"/>
          <w:szCs w:val="32"/>
        </w:rPr>
        <w:t>（一）项目背景</w:t>
      </w:r>
      <w:bookmarkEnd w:id="17"/>
      <w:bookmarkEnd w:id="18"/>
      <w:bookmarkEnd w:id="19"/>
      <w:bookmarkEnd w:id="20"/>
      <w:bookmarkEnd w:id="21"/>
      <w:r>
        <w:rPr>
          <w:rFonts w:hint="default" w:ascii="Times New Roman" w:hAnsi="Times New Roman" w:eastAsia="楷体_GB2312" w:cs="Times New Roman"/>
          <w:sz w:val="32"/>
          <w:szCs w:val="32"/>
        </w:rPr>
        <w:t>（限500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Hans"/>
        </w:rPr>
        <w:t>字）</w:t>
      </w:r>
    </w:p>
    <w:p w14:paraId="020C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bidi="th-TH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围绕所选赛题方向，介绍参赛项目的行业背景，包括但不限于产业发展现状、拟解决的问题、建设目的等内容。</w:t>
      </w:r>
    </w:p>
    <w:p w14:paraId="3CA2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22" w:name="_Toc17287"/>
      <w:bookmarkStart w:id="23" w:name="_Toc597223017"/>
      <w:bookmarkStart w:id="24" w:name="_Toc607972710"/>
      <w:bookmarkStart w:id="25" w:name="_Toc32044"/>
      <w:bookmarkStart w:id="26" w:name="_Toc10488"/>
      <w:r>
        <w:rPr>
          <w:rFonts w:hint="default" w:ascii="Times New Roman" w:hAnsi="Times New Roman" w:eastAsia="楷体_GB2312" w:cs="Times New Roman"/>
          <w:sz w:val="32"/>
          <w:szCs w:val="32"/>
        </w:rPr>
        <w:t>（二）应用</w:t>
      </w:r>
      <w:bookmarkEnd w:id="22"/>
      <w:bookmarkEnd w:id="23"/>
      <w:bookmarkEnd w:id="24"/>
      <w:bookmarkEnd w:id="25"/>
      <w:bookmarkEnd w:id="26"/>
      <w:r>
        <w:rPr>
          <w:rFonts w:hint="default" w:ascii="Times New Roman" w:hAnsi="Times New Roman" w:eastAsia="楷体_GB2312" w:cs="Times New Roman"/>
          <w:sz w:val="32"/>
          <w:szCs w:val="32"/>
        </w:rPr>
        <w:t>场景（限500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Hans"/>
        </w:rPr>
        <w:t>字）</w:t>
      </w:r>
    </w:p>
    <w:p w14:paraId="304F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简要介绍参赛作品适用的行业范围及应用场景，主要服务的客户类型及应用需求等。</w:t>
      </w:r>
    </w:p>
    <w:p w14:paraId="5B989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27" w:name="_Toc29423"/>
      <w:bookmarkStart w:id="28" w:name="_Toc32587"/>
      <w:bookmarkStart w:id="29" w:name="_Toc470144544"/>
      <w:bookmarkStart w:id="30" w:name="_Toc188680641"/>
      <w:bookmarkStart w:id="31" w:name="_Toc7163"/>
      <w:r>
        <w:rPr>
          <w:rFonts w:hint="default" w:ascii="Times New Roman" w:hAnsi="Times New Roman" w:eastAsia="楷体_GB2312" w:cs="Times New Roman"/>
          <w:sz w:val="32"/>
          <w:szCs w:val="32"/>
        </w:rPr>
        <w:t>（三）核心优势</w:t>
      </w:r>
      <w:bookmarkEnd w:id="27"/>
      <w:bookmarkEnd w:id="28"/>
      <w:bookmarkEnd w:id="29"/>
      <w:bookmarkEnd w:id="30"/>
      <w:bookmarkEnd w:id="31"/>
      <w:r>
        <w:rPr>
          <w:rFonts w:hint="default" w:ascii="Times New Roman" w:hAnsi="Times New Roman" w:eastAsia="楷体_GB2312" w:cs="Times New Roman"/>
          <w:sz w:val="32"/>
          <w:szCs w:val="32"/>
        </w:rPr>
        <w:t>（限1000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Hans"/>
        </w:rPr>
        <w:t>字）</w:t>
      </w:r>
    </w:p>
    <w:p w14:paraId="36E24882">
      <w:pPr>
        <w:keepNext w:val="0"/>
        <w:keepLines w:val="0"/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从创新性、有效性和可推广性等方面，简要介绍参赛作品的技术优势、服务优势和产品化优势，与国内外同类解决方案相比具有哪些竞争力。</w:t>
      </w:r>
    </w:p>
    <w:p w14:paraId="0C1EE28C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</w:pPr>
      <w:bookmarkStart w:id="32" w:name="_Toc923"/>
      <w:bookmarkStart w:id="33" w:name="_Toc8889"/>
      <w:bookmarkStart w:id="34" w:name="_Toc1411219801"/>
      <w:bookmarkStart w:id="35" w:name="_Toc19770"/>
      <w:bookmarkStart w:id="36" w:name="_Toc24964"/>
      <w:bookmarkStart w:id="37" w:name="_Toc864710006"/>
      <w:bookmarkStart w:id="38" w:name="_Toc1469670315"/>
      <w:bookmarkStart w:id="39" w:name="_Toc1127013695"/>
      <w:bookmarkStart w:id="40" w:name="_Toc516522410"/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二、解决方案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5E3DE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等线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不同赛道根据评价标准可有不同侧重。</w:t>
      </w:r>
    </w:p>
    <w:p w14:paraId="49D1F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（一）数据要素基础（限3000字）</w:t>
      </w:r>
    </w:p>
    <w:p w14:paraId="2B8F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项目的数据来源的范围和渠道。分析数据在项目中的作用是否显著，是否充分体现了数据价值。从数据来源广泛性、数据跨企业流通交易规模、数据维度、数据价值体现等角度阐述。</w:t>
      </w:r>
    </w:p>
    <w:p w14:paraId="76BF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（二）技术路线（限4000字）</w:t>
      </w:r>
    </w:p>
    <w:p w14:paraId="5487B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1.技术架构：介绍参赛作品的顶层设计方案、技术架构等。数据资源赛道阐述数据资源载体和应用系统。数据基础设施赛道着重阐述基础设施的技术架构和部署情况。</w:t>
      </w:r>
    </w:p>
    <w:p w14:paraId="02EE3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2.数据服务功能:描述解决方案提供的主要数据服务的功能，包括不限于应用场景创新水平、高质量数据集建设情况等。</w:t>
      </w:r>
    </w:p>
    <w:p w14:paraId="6A87B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3.数据服务及产品效能：介绍解决方案中涉及的主要数据服务产品及产品效能。数据资源赛道介绍数据资源支撑的模型训练、产品和服务。数据基础设施赛道介绍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设施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支撑的主要应用场景。</w:t>
      </w:r>
    </w:p>
    <w:p w14:paraId="02807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（三）数据治理（限3000字）</w:t>
      </w:r>
    </w:p>
    <w:p w14:paraId="54399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描述所申报项目方案在数据标准化管理、数据伦理治理、数据全生命周期管理、数据合规、数据安全运营等方面的情况。</w:t>
      </w:r>
    </w:p>
    <w:p w14:paraId="4516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（四）机制创新与模式创新（限3000字）</w:t>
      </w:r>
    </w:p>
    <w:p w14:paraId="2BECC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描述所申报项目方案在技术、数据开发模式、产品、服务等方面的创新水平，以及基于数据驱动开展模式创新和数据流通机制创新情况。</w:t>
      </w:r>
    </w:p>
    <w:p w14:paraId="3C4E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（五）安全保障（限1000字）</w:t>
      </w:r>
    </w:p>
    <w:p w14:paraId="52A4ED1C">
      <w:pPr>
        <w:keepNext w:val="0"/>
        <w:keepLines w:val="0"/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等线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项目数据安全运营的保障条件。包括安全策略、安全技术、安全认证测评等方面采取了哪些措施，形成了哪些技术保障能力。</w:t>
      </w:r>
    </w:p>
    <w:p w14:paraId="0B90D140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</w:pPr>
      <w:bookmarkStart w:id="41" w:name="_Toc1561797939"/>
      <w:bookmarkStart w:id="42" w:name="_Toc1063243696"/>
      <w:bookmarkStart w:id="43" w:name="_Toc7187"/>
      <w:bookmarkStart w:id="44" w:name="_Toc1844102769"/>
      <w:bookmarkStart w:id="45" w:name="_Toc3205"/>
      <w:bookmarkStart w:id="46" w:name="_Toc24605"/>
      <w:bookmarkStart w:id="47" w:name="_Toc1159231593"/>
      <w:bookmarkStart w:id="48" w:name="_Toc1914017897"/>
      <w:bookmarkStart w:id="49" w:name="_Toc14014"/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hint="default" w:ascii="Times New Roman" w:hAnsi="Times New Roman" w:eastAsia="方正黑体_GBK" w:cs="Times New Roman"/>
          <w:sz w:val="32"/>
          <w:szCs w:val="32"/>
        </w:rPr>
        <w:t>应用成效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限5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000字）</w:t>
      </w:r>
      <w:bookmarkEnd w:id="49"/>
    </w:p>
    <w:p w14:paraId="61D5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50" w:name="_Toc1610064958"/>
      <w:bookmarkStart w:id="51" w:name="_Toc14756"/>
      <w:bookmarkStart w:id="52" w:name="_Toc24123"/>
      <w:bookmarkStart w:id="53" w:name="_Toc1233737967"/>
      <w:bookmarkStart w:id="54" w:name="_Toc27339"/>
      <w:bookmarkStart w:id="55" w:name="_Toc725371985"/>
      <w:bookmarkStart w:id="56" w:name="_Toc1999302835"/>
      <w:bookmarkStart w:id="57" w:name="_Toc445343492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项目具有实用价值，可行、合理，能够满足行业具体应用需求，相关成果可落地性强。不同组别和赛道根据评价标准可有不同侧重。</w:t>
      </w:r>
    </w:p>
    <w:p w14:paraId="1E1C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（一）需求痛点</w:t>
      </w:r>
    </w:p>
    <w:p w14:paraId="273BBE84">
      <w:pPr>
        <w:keepNext w:val="0"/>
        <w:keepLines w:val="0"/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描述所申报项目方案是否切中所在领域重点、难点、堵点等重要需求。项目所解决问题的重要程度、问题的普遍性/代表性、问题解决程度和影响范围。</w:t>
      </w:r>
    </w:p>
    <w:p w14:paraId="1F124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（二）质效提升成效</w:t>
      </w:r>
    </w:p>
    <w:p w14:paraId="6D13E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结合本赛道，描述项目方案实现的降本、提效、增质等实际效果。包括但不限于项目如何体现数据要素提质增效、发挥数据赋能价值的情况。</w:t>
      </w:r>
    </w:p>
    <w:p w14:paraId="6791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（三）经济社会效益</w:t>
      </w:r>
    </w:p>
    <w:p w14:paraId="1EE2A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项目落地后带来的经济效益和社会效益。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p w14:paraId="2217761C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</w:pPr>
      <w:bookmarkStart w:id="58" w:name="_Toc25428"/>
      <w:bookmarkStart w:id="59" w:name="_Toc62287876"/>
      <w:bookmarkStart w:id="60" w:name="_Toc907560249"/>
      <w:bookmarkStart w:id="61" w:name="_Toc1479399584"/>
      <w:bookmarkStart w:id="62" w:name="_Toc2067796906"/>
      <w:bookmarkStart w:id="63" w:name="_Toc606123236"/>
      <w:bookmarkStart w:id="64" w:name="_Toc29712"/>
      <w:bookmarkStart w:id="65" w:name="_Toc11212"/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四、商业模式（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限5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000字）</w:t>
      </w:r>
      <w:bookmarkEnd w:id="58"/>
    </w:p>
    <w:p w14:paraId="76786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项目能为运用数据要素价值释放带动行业发展提供可参考、可复制的解决方案，可作为示范项目大规模推广。不同组别和赛道根据评价标准可有不同侧重。</w:t>
      </w:r>
    </w:p>
    <w:p w14:paraId="333A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（一）推广示范价值</w:t>
      </w:r>
    </w:p>
    <w:p w14:paraId="0DDA5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围绕解决方案的市场潜力，开展成长性分析。如潜在用户规模、行业领域、市场份额等情况。项目是否形成具有可复制、可推广的运用数据要素赋能行业的解决方案或应用模式。项目是否具备数据治理标准推广水平或数据流通生态构建水平。</w:t>
      </w:r>
    </w:p>
    <w:p w14:paraId="4B7B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（二）模式可持续性</w:t>
      </w:r>
    </w:p>
    <w:p w14:paraId="189E4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说明解决方案的市场策略，新模式新业态培育情况，包括数据来源、数据要素利用模式、产品价格、成本核算、盈利模式及稳定性、未来应用空间、推广渠道、宣传方式等，如有可提供成本、收入、未来应用空间等测算说明。</w:t>
      </w:r>
    </w:p>
    <w:bookmarkEnd w:id="59"/>
    <w:bookmarkEnd w:id="60"/>
    <w:bookmarkEnd w:id="61"/>
    <w:bookmarkEnd w:id="62"/>
    <w:bookmarkEnd w:id="63"/>
    <w:bookmarkEnd w:id="64"/>
    <w:bookmarkEnd w:id="65"/>
    <w:p w14:paraId="4690E999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66" w:name="_Toc2093891633"/>
      <w:bookmarkStart w:id="67" w:name="_Toc938827901"/>
      <w:bookmarkStart w:id="68" w:name="_Toc127303413"/>
      <w:bookmarkStart w:id="69" w:name="_Toc28284"/>
      <w:bookmarkStart w:id="70" w:name="_Toc14491"/>
      <w:bookmarkStart w:id="71" w:name="_Toc298609665"/>
      <w:bookmarkStart w:id="72" w:name="_Toc1632347852"/>
      <w:bookmarkStart w:id="73" w:name="_Toc15877"/>
      <w:bookmarkStart w:id="74" w:name="_Toc262"/>
      <w:r>
        <w:rPr>
          <w:rFonts w:hint="default" w:ascii="Times New Roman" w:hAnsi="Times New Roman" w:eastAsia="方正黑体_GBK" w:cs="Times New Roman"/>
          <w:sz w:val="32"/>
          <w:szCs w:val="32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、</w:t>
      </w:r>
      <w:bookmarkEnd w:id="10"/>
      <w:bookmarkEnd w:id="11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bookmarkEnd w:id="74"/>
    </w:p>
    <w:p w14:paraId="3FCE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1.知识产权情况（需与解决方案相关。可添加数量）</w:t>
      </w:r>
    </w:p>
    <w:tbl>
      <w:tblPr>
        <w:tblStyle w:val="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987"/>
      </w:tblGrid>
      <w:tr w14:paraId="676A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</w:tcPr>
          <w:p w14:paraId="3530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专利数量：    个</w:t>
            </w:r>
          </w:p>
        </w:tc>
      </w:tr>
      <w:tr w14:paraId="06D6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 w14:paraId="1A82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专利名称</w:t>
            </w:r>
          </w:p>
        </w:tc>
        <w:tc>
          <w:tcPr>
            <w:tcW w:w="2560" w:type="dxa"/>
            <w:vAlign w:val="center"/>
          </w:tcPr>
          <w:p w14:paraId="0E3D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专利号</w:t>
            </w:r>
          </w:p>
        </w:tc>
        <w:tc>
          <w:tcPr>
            <w:tcW w:w="3987" w:type="dxa"/>
            <w:vAlign w:val="center"/>
          </w:tcPr>
          <w:p w14:paraId="3000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证明材料</w:t>
            </w:r>
          </w:p>
        </w:tc>
      </w:tr>
      <w:tr w14:paraId="677A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3F01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60" w:type="dxa"/>
          </w:tcPr>
          <w:p w14:paraId="2496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987" w:type="dxa"/>
          </w:tcPr>
          <w:p w14:paraId="561D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</w:tr>
      <w:tr w14:paraId="737A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</w:tcPr>
          <w:p w14:paraId="5E0FE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60" w:type="dxa"/>
          </w:tcPr>
          <w:p w14:paraId="5B37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987" w:type="dxa"/>
          </w:tcPr>
          <w:p w14:paraId="3B9D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</w:tr>
      <w:tr w14:paraId="7B09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</w:tcPr>
          <w:p w14:paraId="0E5B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软著数量：   个</w:t>
            </w:r>
          </w:p>
        </w:tc>
      </w:tr>
      <w:tr w14:paraId="3693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 w14:paraId="31FE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软著名称</w:t>
            </w:r>
          </w:p>
        </w:tc>
        <w:tc>
          <w:tcPr>
            <w:tcW w:w="2560" w:type="dxa"/>
            <w:vAlign w:val="center"/>
          </w:tcPr>
          <w:p w14:paraId="1882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登记号</w:t>
            </w:r>
          </w:p>
        </w:tc>
        <w:tc>
          <w:tcPr>
            <w:tcW w:w="3987" w:type="dxa"/>
            <w:vAlign w:val="center"/>
          </w:tcPr>
          <w:p w14:paraId="5024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证明材料</w:t>
            </w:r>
          </w:p>
        </w:tc>
      </w:tr>
      <w:tr w14:paraId="145B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6591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60" w:type="dxa"/>
          </w:tcPr>
          <w:p w14:paraId="1540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987" w:type="dxa"/>
          </w:tcPr>
          <w:p w14:paraId="652B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</w:tr>
      <w:tr w14:paraId="2CB0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</w:tcPr>
          <w:p w14:paraId="50B2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60" w:type="dxa"/>
          </w:tcPr>
          <w:p w14:paraId="27E8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987" w:type="dxa"/>
          </w:tcPr>
          <w:p w14:paraId="06B3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</w:tr>
    </w:tbl>
    <w:p w14:paraId="05069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2.合同情况（需与解决方案相关。可添加数量）</w:t>
      </w:r>
    </w:p>
    <w:p w14:paraId="3E277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3.其他证明材料</w:t>
      </w:r>
    </w:p>
    <w:p w14:paraId="71F3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firstLine="640" w:firstLineChars="200"/>
        <w:textAlignment w:val="auto"/>
        <w:rPr>
          <w:rFonts w:hint="default" w:ascii="Times New Roman" w:hAnsi="Times New Roman" w:eastAsia="等线" w:cs="Times New Roman"/>
          <w:sz w:val="32"/>
          <w:szCs w:val="32"/>
        </w:rPr>
      </w:pPr>
    </w:p>
    <w:p w14:paraId="581323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="160" w:afterAutospacing="0" w:line="600" w:lineRule="exact"/>
        <w:jc w:val="both"/>
        <w:textAlignment w:val="baseline"/>
        <w:outlineLvl w:val="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</w:p>
    <w:p w14:paraId="04CB5E44"/>
    <w:p w14:paraId="03CAA2D0"/>
    <w:sectPr>
      <w:footerReference r:id="rId5" w:type="default"/>
      <w:pgSz w:w="11906" w:h="16838"/>
      <w:pgMar w:top="1871" w:right="1531" w:bottom="1871" w:left="1531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Wingdings 2">
    <w:altName w:val="GWZT-EN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FA734"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BE56C"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5BB6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160" w:line="240" w:lineRule="auto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zh-CN" w:eastAsia="zh-CN" w:bidi="ar-SA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5BB6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160" w:line="240" w:lineRule="auto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zh-CN" w:eastAsia="zh-CN" w:bidi="ar-SA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A2DAA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F6E6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160" w:line="278" w:lineRule="auto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DF6E6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160" w:line="278" w:lineRule="auto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12703"/>
    <w:multiLevelType w:val="multilevel"/>
    <w:tmpl w:val="2AF12703"/>
    <w:lvl w:ilvl="0" w:tentative="0">
      <w:start w:val="1"/>
      <w:numFmt w:val="bullet"/>
      <w:lvlText w:val=""/>
      <w:lvlJc w:val="left"/>
      <w:pPr>
        <w:ind w:left="44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320" w:hanging="440"/>
      </w:pPr>
      <w:rPr>
        <w:rFonts w:hint="default" w:ascii="Wingdings" w:hAnsi="Wingdings"/>
        <w:b w:val="0"/>
        <w:bCs w:val="0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5E331DB3"/>
    <w:multiLevelType w:val="multilevel"/>
    <w:tmpl w:val="5E331DB3"/>
    <w:lvl w:ilvl="0" w:tentative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1" w:tentative="0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02D11"/>
    <w:rsid w:val="1F566F76"/>
    <w:rsid w:val="3E6F05B5"/>
    <w:rsid w:val="75602D11"/>
    <w:rsid w:val="A4FE6714"/>
    <w:rsid w:val="FF5A8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Office_12.8.2.19829_F1E327BC-269C-435d-A152-05C5408002CA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2026-05-30T05:02:00Z</dcterms:created>
  <dc:creator>上官丽丽</dc:creator>
  <cp:lastModifiedBy>huawei</cp:lastModifiedBy>
  <cp:lastPrinted>2026-06-19T02:33:00Z</cp:lastPrinted>
  <dcterms:modified xsi:type="dcterms:W3CDTF">2026-06-18T11:58:43Z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2052-12.8.2.19829</vt:lpwstr>
  </property>
  <property fmtid="{D5CDD505-2E9C-101B-9397-08002B2CF9AE}" pid="3" name="ICV">
    <vt:lpwstr>64736889F7FF4ED6A47FCBAE00F2E694_11</vt:lpwstr>
  </property>
  <property fmtid="{D5CDD505-2E9C-101B-9397-08002B2CF9AE}" pid="4" name="KSOTemplateDocerSaveRecord">
    <vt:lpwstr>eyJoZGlkIjoiMzEwNTM5NzYwMDRjMzkwZTVkZjY2ODkwMGIxNGU0OTUiLCJ1c2VySWQiOiIxMDQxNjIzNDczIn0=</vt:lpwstr>
  </property>
</Properties>
</file>