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156" w:beforeLines="50" w:line="520" w:lineRule="exact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156" w:beforeLines="50" w:line="520" w:lineRule="exact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156" w:beforeLines="50" w:line="520" w:lineRule="exact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both"/>
        <w:rPr>
          <w:rFonts w:hint="eastAsia" w:ascii="等线" w:hAnsi="等线" w:eastAsia="等线" w:cs="Times New Roman"/>
          <w:kern w:val="2"/>
          <w:sz w:val="28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both"/>
        <w:rPr>
          <w:rFonts w:hint="eastAsia" w:ascii="等线" w:hAnsi="等线" w:eastAsia="等线" w:cs="Times New Roman"/>
          <w:kern w:val="2"/>
          <w:sz w:val="28"/>
          <w:szCs w:val="21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156" w:beforeLines="50" w:line="520" w:lineRule="exact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0" w:name="_Toc18620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2025年“数据要素×”大赛</w:t>
      </w:r>
      <w:bookmarkEnd w:id="0"/>
    </w:p>
    <w:p>
      <w:pPr>
        <w:pStyle w:val="3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1" w:name="_Toc5375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申报书</w:t>
      </w:r>
      <w:bookmarkEnd w:id="1"/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both"/>
        <w:rPr>
          <w:rFonts w:hint="eastAsia" w:ascii="黑体" w:hAnsi="黑体" w:eastAsia="黑体" w:cs="黑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ascii="楷体_GB2312" w:hAnsi="等线" w:eastAsia="楷体_GB2312" w:cs="Times New Roman"/>
          <w:color w:val="auto"/>
          <w:sz w:val="36"/>
          <w:szCs w:val="21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ascii="楷体_GB2312" w:hAnsi="等线" w:eastAsia="楷体_GB2312" w:cs="Times New Roman"/>
          <w:color w:val="auto"/>
          <w:sz w:val="36"/>
          <w:szCs w:val="21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hint="eastAsia" w:ascii="楷体_GB2312" w:hAnsi="等线" w:eastAsia="楷体_GB2312" w:cs="Times New Roman"/>
          <w:color w:val="auto"/>
          <w:sz w:val="36"/>
          <w:szCs w:val="21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ascii="楷体_GB2312" w:hAnsi="等线" w:eastAsia="楷体_GB2312" w:cs="Times New Roman"/>
          <w:color w:val="auto"/>
          <w:sz w:val="36"/>
          <w:szCs w:val="21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</w:pP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</w:rPr>
        <w:t>团 队 名 称：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ascii="楷体" w:hAnsi="楷体" w:eastAsia="楷体" w:cs="Times New Roman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  <w:lang w:eastAsia="zh-Hans"/>
        </w:rPr>
        <w:t>项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lang w:eastAsia="zh-Hans"/>
        </w:rPr>
        <w:t xml:space="preserve"> </w:t>
      </w: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  <w:lang w:eastAsia="zh-Hans"/>
        </w:rPr>
        <w:t>目</w:t>
      </w: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</w:rPr>
        <w:t xml:space="preserve"> 名 称：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ascii="楷体" w:hAnsi="楷体" w:eastAsia="楷体" w:cs="Times New Roman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</w:rPr>
        <w:t>参赛单位名称：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left"/>
        <w:rPr>
          <w:rFonts w:hint="eastAsia" w:ascii="楷体" w:hAnsi="楷体" w:eastAsia="楷体" w:cs="Times New Roman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</w:rPr>
        <w:t xml:space="preserve">日 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</w:rPr>
        <w:t xml:space="preserve">       </w:t>
      </w:r>
      <w:r>
        <w:rPr>
          <w:rFonts w:hint="eastAsia" w:ascii="楷体" w:hAnsi="楷体" w:eastAsia="楷体" w:cs="Times New Roman"/>
          <w:color w:val="auto"/>
          <w:sz w:val="32"/>
          <w:szCs w:val="22"/>
          <w:highlight w:val="none"/>
        </w:rPr>
        <w:t>期：</w:t>
      </w:r>
      <w:r>
        <w:rPr>
          <w:rFonts w:ascii="楷体" w:hAnsi="楷体" w:eastAsia="楷体" w:cs="Times New Roman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center"/>
        <w:rPr>
          <w:rFonts w:ascii="方正小标宋简体" w:hAnsi="等线" w:eastAsia="方正小标宋简体" w:cs="Times New Roman"/>
          <w:color w:val="auto"/>
          <w:sz w:val="36"/>
          <w:szCs w:val="21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2160" w:firstLineChars="600"/>
        <w:jc w:val="center"/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2160" w:firstLineChars="600"/>
        <w:jc w:val="center"/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2160" w:firstLineChars="600"/>
        <w:jc w:val="center"/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2041" w:right="1474" w:bottom="164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  <w:rPr>
          <w:color w:val="auto"/>
          <w:highlight w:val="none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  <w:lang w:eastAsia="zh-Hans"/>
        </w:rPr>
        <w:t>目</w:t>
      </w:r>
      <w:r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sz w:val="36"/>
          <w:szCs w:val="36"/>
          <w:highlight w:val="none"/>
          <w:lang w:eastAsia="zh-Hans"/>
        </w:rPr>
        <w:t>录</w:t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TOC \o "1-2" \h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_Toc5375 </w:instrText>
      </w:r>
      <w:r>
        <w:rPr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申报书</w:t>
      </w:r>
      <w:r>
        <w:tab/>
      </w:r>
      <w:r>
        <w:fldChar w:fldCharType="begin"/>
      </w:r>
      <w:r>
        <w:instrText xml:space="preserve"> PAGEREF _Toc5375 \h </w:instrText>
      </w:r>
      <w:r>
        <w:fldChar w:fldCharType="separate"/>
      </w:r>
      <w:r>
        <w:t>20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_Toc4143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一、项目概述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30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_Toc923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二、解决方案</w:t>
      </w:r>
      <w:r>
        <w:tab/>
      </w:r>
      <w:r>
        <w:fldChar w:fldCharType="begin"/>
      </w:r>
      <w:r>
        <w:instrText xml:space="preserve"> PAGEREF _Toc923 \h </w:instrText>
      </w:r>
      <w:r>
        <w:fldChar w:fldCharType="separate"/>
      </w:r>
      <w:r>
        <w:t>30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_Toc14014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三、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31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_Toc25428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_Toc25428 \h </w:instrText>
      </w:r>
      <w:r>
        <w:fldChar w:fldCharType="separate"/>
      </w:r>
      <w:r>
        <w:t>31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pageBreakBefore w:val="0"/>
        <w:widowControl w:val="0"/>
        <w:tabs>
          <w:tab w:val="right" w:leader="dot" w:pos="8306"/>
        </w:tabs>
        <w:kinsoku/>
        <w:overflowPunct/>
        <w:topLinePunct w:val="0"/>
        <w:bidi w:val="0"/>
        <w:adjustRightInd w:val="0"/>
        <w:snapToGrid w:val="0"/>
        <w:spacing w:line="520" w:lineRule="exact"/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_Toc262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附件</w:t>
      </w:r>
      <w:r>
        <w:tab/>
      </w:r>
      <w:r>
        <w:fldChar w:fldCharType="begin"/>
      </w:r>
      <w:r>
        <w:instrText xml:space="preserve"> PAGEREF _Toc262 \h </w:instrText>
      </w:r>
      <w:r>
        <w:fldChar w:fldCharType="separate"/>
      </w:r>
      <w:r>
        <w:t>32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rPr>
          <w:rFonts w:ascii="等线" w:hAnsi="等线" w:eastAsia="等线" w:cs="Times New Roman"/>
          <w:color w:val="auto"/>
          <w:szCs w:val="21"/>
          <w:highlight w:val="none"/>
        </w:rPr>
      </w:pPr>
      <w:r>
        <w:rPr>
          <w:rFonts w:ascii="等线" w:hAnsi="等线" w:eastAsia="等线" w:cs="Times New Roman"/>
          <w:color w:val="auto"/>
          <w:szCs w:val="21"/>
          <w:highlight w:val="none"/>
        </w:rPr>
        <w:fldChar w:fldCharType="end"/>
      </w:r>
    </w:p>
    <w:p>
      <w:pPr>
        <w:pStyle w:val="4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2" w:name="_Toc408286828"/>
      <w:bookmarkStart w:id="3" w:name="_Toc385777929"/>
      <w:bookmarkStart w:id="4" w:name="_Toc358104385"/>
      <w:bookmarkStart w:id="5" w:name="_Toc527995356"/>
      <w:bookmarkStart w:id="6" w:name="_Toc19007"/>
      <w:bookmarkStart w:id="7" w:name="_Toc7532"/>
      <w:bookmarkStart w:id="8" w:name="_Toc29146"/>
      <w:bookmarkStart w:id="9" w:name="_Toc1290816000"/>
      <w:bookmarkStart w:id="10" w:name="_Toc42867971"/>
      <w:bookmarkStart w:id="11" w:name="_Toc9425"/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12" w:name="_Toc30807"/>
      <w:bookmarkStart w:id="13" w:name="_Toc7406"/>
      <w:bookmarkStart w:id="14" w:name="_Toc10327"/>
      <w:bookmarkStart w:id="15" w:name="_Toc10363"/>
      <w:r>
        <w:rPr>
          <w:rFonts w:hint="eastAsia" w:ascii="方正黑体_GBK" w:hAnsi="方正黑体_GBK" w:eastAsia="方正黑体_GBK" w:cs="方正黑体_GBK"/>
          <w:sz w:val="30"/>
          <w:szCs w:val="30"/>
        </w:rPr>
        <w:t>第一部分：基本信息</w:t>
      </w:r>
      <w:bookmarkEnd w:id="12"/>
      <w:bookmarkEnd w:id="13"/>
      <w:bookmarkEnd w:id="14"/>
      <w:bookmarkEnd w:id="15"/>
    </w:p>
    <w:tbl>
      <w:tblPr>
        <w:tblStyle w:val="11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9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及参赛方向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（单选）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项目来源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（下拉菜单）各省、自治区、直辖市、新疆建设兵团、推荐渠道（下拉菜单选择）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（介绍参赛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的背景、拟解决的问题、采用的核心技术/产品、赋能成效等，1000字以内）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*项目覆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盖的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业务场景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数字产品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设计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通用软件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工业软件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算法模型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社交娱乐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新闻资讯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管理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采购销售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仓储物流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节能降耗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减排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运营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优化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决策优化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leftChars="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生产制造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智能排产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工艺优化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质量管控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设备运维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安全生产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leftChars="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创新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供应链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个性化定制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产融协同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（供应链金融、征信担保等）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产教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（培训、教学等）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leftChars="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公共管理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经济调节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市场监管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社会管理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公共服务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环境保护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leftChars="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个人服务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生活消费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医疗健康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学习教育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财务管理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社交互动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文化旅游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1320" w:hanging="44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数据市场化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1 项目服务对象（多选）：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政府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事业单位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 □消费者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 项目数据来源（最多选2项）：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公共数据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公开数据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共享数据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授权运营数据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填空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企业数据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自有数据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本项目服务对象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数据持有机构或企业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公网数据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..填空..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□个人用户数据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3数据更新频率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（多选）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不定期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季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 □周 □日 □时 □分 □秒 □实时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4数据汇聚方式（每类选最主要的1个）：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□企业内         □跨企业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□同场景         □多场景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□长期/多频次    □短期/少频次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□结构化数据 □半结构化数据 □文本 □音频 □视频 □图片 □其他：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填空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项目中，跨主体（企业或机构）交互的数据量：_________（GB）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6数据服务流通带宽：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_________（MB）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不涉及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7数据交易形式：□来自交易机构的数据占比__%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交易机构名称________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1920" w:firstLineChars="8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□来自点对点合同的数据占比__%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1920" w:firstLineChars="8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□在线订阅的数据占比__%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8 数据产品和服务类型（最多选2项）：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软硬件一体化解决方案 □技术开发服务  □数据集 □数据产品 □软件产品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9 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驱动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建模分析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方式（限选1项）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□统计方法线性计算 □数学模型建模、仿真 □机器视觉和听觉等提高感知度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□利用大数据+小模型计算 □应用大模型，大模型名称：________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10数据价值目标（限3个）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□感知与可视化 □诊断分析 □隐形规律发掘 □辅助决策 □趋势预测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□形成新增值业务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服务的客户数量（以合同为准，无填0）：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其中，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政府部门：国家级____省级____  地市级____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科研院所____  高校____ 事业单位____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大企业____ 中型企业____  小微企业____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个人用户____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适用行业：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（选择已落地服务的行业，精确到行业中类，数量不限）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 已实现落地应用的代表性案例（可增加，无数量限制）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tbl>
            <w:tblPr>
              <w:tblStyle w:val="11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名称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单位类型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如是企业，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企业规模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所属省份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实施起止时间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top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(大、中、小微)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下拉菜单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下拉菜单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 —</w:t>
                  </w:r>
                </w:p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项目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应用场景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应用成效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合同证明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1153" w:type="dxa"/>
                  <w:noWrap w:val="0"/>
                  <w:vAlign w:val="top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 xml:space="preserve">  </w:t>
                  </w:r>
                </w:p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限300字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</w:t>
                  </w: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00字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pageBreakBefore w:val="0"/>
                    <w:widowControl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before="62" w:beforeLines="20" w:line="520" w:lineRule="exact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上传附件</w:t>
                  </w:r>
                </w:p>
              </w:tc>
            </w:tr>
          </w:tbl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主要部署方式（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限2个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□边缘侧部署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□本地部署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□私有云部署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□公有云部署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□混合云部署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主要收费模式（限选收入占比最高的2个）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□产品开发及实施费用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□产品运维服务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□按使用收费（基于使用次数/流量/账号/时间的收入）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□按成效收费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□其他：_______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市场收入（万元，以合同为准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无填0）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毛利润（万元，选填）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项目开发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成本（万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项目平均投资回报周期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：□1年以内  □1年-3年  □3年-5年  □5年以上 □尚无收益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10.项目应用成效（至少填2项）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存量价值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降低管理成本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降低人力成本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准确率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、缩短交付周期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增量价值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订单增长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市场份额增长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、带动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合作伙伴/上下游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企业协同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（家）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社会价值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：（填空）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促进就业（人）：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绿色低碳（吨）：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普惠服务（人）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促进区域经济发展（个）:省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形成标准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、行业标准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、地方标准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、团体标准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、企业标准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_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（二）参赛团队信息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*团队成员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/职称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strike/>
                <w:dstrike w:val="0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是否团队联络人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（三）参赛单位基本信息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单位可增加，最多五家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*单位名称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*统一社会信用代码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*成立时间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*地址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国省市区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*单位性质（单选）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政府机构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央企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国企（非央企） □民营 □外资 □合资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科研院校 □其他：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是否央企子公司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是/否 母公司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企业规模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（企业填）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gridSpan w:val="6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63" w:type="dxa"/>
            <w:gridSpan w:val="5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（不超过300字）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简要介绍发展历程、主营业务和市场地位等情况。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*核心能力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（不超过600字）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企业在研发创新、专业技术和产品服务能力、人才队伍等方面的竞争力。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*营收（万元）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*利润（万元）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*20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数据技术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77" w:type="dxa"/>
            <w:gridSpan w:val="8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其中，AI投入（万元）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*2024年获取外部数据的成本投入（万元）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数据开发利用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 数据优势：单选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数据资源：□数据采集 □数据汇聚 □标注清洗 □数据分析 □数据可视化□其他：___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基础设施：□平台 □云资源 □数据空间 □算力支持 □网络 □安全设施 □其他：___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场景应用：□业务模型 □算法开发 □预测分析 □驱动决策 □AI □其他：___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流通服务：□流通空间 □供需匹配 □检测认证 □数据交易 □其他：___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安全治理：□数据合规 □数据安全 □数据备份与恢复 □其他：___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2标准化处理的数据占数据存储总量比例（%）：___________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3用于开发利用的数据占数据存储总量比例（%）：___________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4算力来源：□企业自购 □租用云服务 □算力中心 □无需算力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5存力来源：□自建机房 □租用云服务 □算力中心 □无需额外购置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6算法来源：□自主研发 □联合研发  □二次开发 □组合创新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7是否接入大模型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如是，大模型名称：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接入用途：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投入费用（万元/年）：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训练数据来源：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经自有渠道外购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经交易所外购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自有业务数据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客户/用户数据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训练数据集数量：_________（个） 数据量：_________（GB）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8数据产品数量（个）：___________ 其中，进入交易机构的数量：___________ 交易机构名称：___________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9数据服务数量（个）：___________其中，进入交易机构的数量：___________ 交易机构名称：___________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10数据资产入表金额（万元）：___________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融资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融资阶段：□无计划、□天使轮、□A轮、□B轮、□C轮、□D轮、□申报上市，□已上市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总融资额：____（万）  主要投资方：____________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近期有融资需求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等线" w:hAnsi="等线" w:eastAsia="等线" w:cs="Times New Roman"/>
          <w:color w:val="000000"/>
          <w:szCs w:val="21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8"/>
          <w:szCs w:val="38"/>
          <w:lang w:val="en-US" w:eastAsia="zh-CN" w:bidi="ar-SA"/>
        </w:rPr>
        <w:t>第二部分：参赛项目介绍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16" w:name="_Toc414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6"/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7" w:name="_Toc22227"/>
      <w:bookmarkStart w:id="18" w:name="_Toc11307"/>
      <w:bookmarkStart w:id="19" w:name="_Toc866466031"/>
      <w:bookmarkStart w:id="20" w:name="_Toc615518888"/>
      <w:bookmarkStart w:id="21" w:name="_Toc27115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（一）项目背景</w:t>
      </w:r>
      <w:bookmarkEnd w:id="17"/>
      <w:bookmarkEnd w:id="18"/>
      <w:bookmarkEnd w:id="19"/>
      <w:bookmarkEnd w:id="20"/>
      <w:bookmarkEnd w:id="2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zh-CN" w:bidi="th-TH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围绕所选赛题方向，介绍参赛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行业背景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，包括但不限于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产业发展现状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拟解决的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问题、建设目的等内容。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2" w:name="_Toc607972710"/>
      <w:bookmarkStart w:id="23" w:name="_Toc597223017"/>
      <w:bookmarkStart w:id="24" w:name="_Toc32044"/>
      <w:bookmarkStart w:id="25" w:name="_Toc10488"/>
      <w:bookmarkStart w:id="26" w:name="_Toc1728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（二）应用</w:t>
      </w:r>
      <w:bookmarkEnd w:id="22"/>
      <w:bookmarkEnd w:id="23"/>
      <w:bookmarkEnd w:id="24"/>
      <w:bookmarkEnd w:id="25"/>
      <w:bookmarkEnd w:id="26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简要介绍参赛作品适用的行业范围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及应用场景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，主要服务的客户类型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及应用需求等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7" w:name="_Toc7163"/>
      <w:bookmarkStart w:id="28" w:name="_Toc29423"/>
      <w:bookmarkStart w:id="29" w:name="_Toc470144544"/>
      <w:bookmarkStart w:id="30" w:name="_Toc188680641"/>
      <w:bookmarkStart w:id="31" w:name="_Toc3258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（三）核心优势</w:t>
      </w:r>
      <w:bookmarkEnd w:id="27"/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pageBreakBefore w:val="0"/>
        <w:widowControl w:val="0"/>
        <w:tabs>
          <w:tab w:val="left" w:pos="2552"/>
        </w:tabs>
        <w:kinsoku/>
        <w:overflowPunct/>
        <w:topLinePunct w:val="0"/>
        <w:bidi w:val="0"/>
        <w:adjustRightInd w:val="0"/>
        <w:snapToGrid w:val="0"/>
        <w:spacing w:line="520" w:lineRule="exact"/>
        <w:ind w:firstLine="60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从创新性、有效性和可推广性等方面，简要介绍参赛作品的技术优势、服务优势和产品化优势，与国内外同类解决方案相比具有哪些竞争力。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32" w:name="_Toc1469670315"/>
      <w:bookmarkStart w:id="33" w:name="_Toc8889"/>
      <w:bookmarkStart w:id="34" w:name="_Toc24964"/>
      <w:bookmarkStart w:id="35" w:name="_Toc1127013695"/>
      <w:bookmarkStart w:id="36" w:name="_Toc923"/>
      <w:bookmarkStart w:id="37" w:name="_Toc19770"/>
      <w:bookmarkStart w:id="38" w:name="_Toc1411219801"/>
      <w:bookmarkStart w:id="39" w:name="_Toc864710006"/>
      <w:bookmarkStart w:id="40" w:name="_Toc51652241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二、解决方案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（一）数据要素基础（限3000字）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数据跨企业流通交易规模、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数据维度、数据价值体现等角度阐述。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（二）技术路线（限4000字）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1.技术架构：介绍参赛作品的顶层设计方案、技术架构等。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2.数据服务功能:描述解决方案提供的主要数据服务的功能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包括不限于应用场景创新水平、高质量数据集建设情况等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3.数据服务及产品效能：介绍解决方案中涉及的主要数据服务产品及产品效能。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（三）数据治理（限3000字）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所申报项目方案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在数据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标准化管理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数据伦理治理、数据全生命周期管理、数据合规、数据安全运营等方面的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情况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000字）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描述所申报项目方案在技术、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数据开发模式、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产品、服务等方面的创新水平，以及基于数据驱动开展模式创新和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数据流通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机制创新情况。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（五）安全保障</w:t>
      </w:r>
    </w:p>
    <w:p>
      <w:pPr>
        <w:pageBreakBefore w:val="0"/>
        <w:widowControl w:val="0"/>
        <w:tabs>
          <w:tab w:val="left" w:pos="2552"/>
        </w:tabs>
        <w:kinsoku/>
        <w:overflowPunct/>
        <w:topLinePunct w:val="0"/>
        <w:bidi w:val="0"/>
        <w:adjustRightInd w:val="0"/>
        <w:snapToGrid w:val="0"/>
        <w:spacing w:line="520" w:lineRule="exact"/>
        <w:ind w:firstLine="600" w:firstLineChars="200"/>
        <w:rPr>
          <w:rFonts w:hint="eastAsia" w:ascii="等线" w:hAnsi="等线" w:eastAsia="等线" w:cs="Times New Roman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项目数据安全运营的保障条件。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包括安全策略、安全技术、安全认证测评等方面采取了哪些措施，形成了哪些技术保障能力。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41" w:name="_Toc7187"/>
      <w:bookmarkStart w:id="42" w:name="_Toc24605"/>
      <w:bookmarkStart w:id="43" w:name="_Toc1063243696"/>
      <w:bookmarkStart w:id="44" w:name="_Toc1561797939"/>
      <w:bookmarkStart w:id="45" w:name="_Toc1159231593"/>
      <w:bookmarkStart w:id="46" w:name="_Toc1914017897"/>
      <w:bookmarkStart w:id="47" w:name="_Toc1844102769"/>
      <w:bookmarkStart w:id="48" w:name="_Toc3205"/>
      <w:bookmarkStart w:id="49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三、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49"/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bookmarkStart w:id="50" w:name="_Toc24123"/>
      <w:bookmarkStart w:id="51" w:name="_Toc1610064958"/>
      <w:bookmarkStart w:id="52" w:name="_Toc725371985"/>
      <w:bookmarkStart w:id="53" w:name="_Toc27339"/>
      <w:bookmarkStart w:id="54" w:name="_Toc445343492"/>
      <w:bookmarkStart w:id="55" w:name="_Toc1999302835"/>
      <w:bookmarkStart w:id="56" w:name="_Toc14756"/>
      <w:bookmarkStart w:id="57" w:name="_Toc1233737967"/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项目具有实用价值，可行、合理，能够满足行业具体应用需求，相关成果可落地性强。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（一）需求痛点</w:t>
      </w:r>
    </w:p>
    <w:p>
      <w:pPr>
        <w:pageBreakBefore w:val="0"/>
        <w:widowControl w:val="0"/>
        <w:tabs>
          <w:tab w:val="left" w:pos="2552"/>
        </w:tabs>
        <w:kinsoku/>
        <w:overflowPunct/>
        <w:topLinePunct w:val="0"/>
        <w:bidi w:val="0"/>
        <w:adjustRightInd w:val="0"/>
        <w:snapToGrid w:val="0"/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描述所申报项目方案是否切中所在领域重点、难点、堵点等重要需求。项目所解决问题的重要程度、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问题的普遍性/代表性、问题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解决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程度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和影响范围。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（二）质效提升成效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结合本赛道，描述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实现的降本、提效、增质等实际效果。包括但不限于项目如何体现数据要素提质增效、发挥数据赋能价值的情况。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（三）经济社会效益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项目落地后带来的经济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和社会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58" w:name="_Toc2542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58"/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项目能为运用数据要素价值释放带动行业发展提供可参考、可复制的解决方案，可作为示范项目大规模推广。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（一）推广示范价值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default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围绕解决方案的市场潜力，开展成长性分析。如潜在用户规模、行业领域、市场份额等情况。项目是否形成具有可复制、可推广的运用数据要素赋能行业的解决方案或应用模式。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项目是否具备数据治理标准推广水平或数据流通生态构建水平。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（二）模式可持续性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说明解决方案的市场策略，包括数据来源、数据要素利用模式、产品价格、成本核算、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盈利模式及稳定性、未来应用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空间、推广渠道、宣传方式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，如有可提供成本、收入、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空间等测算说明。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59" w:name="_Toc28284"/>
      <w:bookmarkStart w:id="60" w:name="_Toc127303413"/>
      <w:bookmarkStart w:id="61" w:name="_Toc1632347852"/>
      <w:bookmarkStart w:id="62" w:name="_Toc2093891633"/>
      <w:bookmarkStart w:id="63" w:name="_Toc15877"/>
      <w:bookmarkStart w:id="64" w:name="_Toc938827901"/>
      <w:bookmarkStart w:id="65" w:name="_Toc14491"/>
      <w:bookmarkStart w:id="66" w:name="_Toc298609665"/>
      <w:bookmarkStart w:id="67" w:name="_Toc26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、</w:t>
      </w:r>
      <w:bookmarkEnd w:id="10"/>
      <w:bookmarkEnd w:id="11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附件</w:t>
      </w:r>
      <w:bookmarkEnd w:id="67"/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62" w:beforeLines="20" w:line="52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知识产权情况（需与解决方案相关。可添加数量）</w:t>
      </w:r>
    </w:p>
    <w:tbl>
      <w:tblPr>
        <w:tblStyle w:val="11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专利数量：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软著数量：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62" w:beforeLines="20" w:line="52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2.合同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情况（需与解决方案相关。可添加数量）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20" w:lineRule="exact"/>
        <w:jc w:val="both"/>
        <w:rPr>
          <w:rFonts w:hint="default" w:ascii="等线" w:hAnsi="等线" w:eastAsia="方正仿宋_GBK" w:cs="Times New Roman"/>
          <w:kern w:val="2"/>
          <w:sz w:val="28"/>
          <w:szCs w:val="2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3.其他证明材料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68" w:name="_GoBack"/>
      <w:bookmarkEnd w:id="68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360" w:lineRule="auto"/>
      <w:jc w:val="center"/>
      <w:rPr>
        <w:rFonts w:hint="eastAsia" w:ascii="Times New Roman" w:hAnsi="Times New Roman" w:eastAsia="宋体" w:cstheme="minorBidi"/>
        <w:kern w:val="2"/>
        <w:sz w:val="21"/>
        <w:szCs w:val="18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44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360" w:lineRule="auto"/>
      <w:jc w:val="center"/>
      <w:rPr>
        <w:rFonts w:ascii="Times New Roman" w:hAnsi="Times New Roman" w:eastAsia="宋体" w:cstheme="minorBidi"/>
        <w:kern w:val="2"/>
        <w:sz w:val="24"/>
        <w:szCs w:val="21"/>
        <w:lang w:val="en-US" w:eastAsia="zh-CN" w:bidi="ar-SA"/>
      </w:rPr>
    </w:pPr>
    <w:r>
      <w:rPr>
        <w:sz w:val="24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36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宋体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theme="minorBidi"/>
                              <w:kern w:val="2"/>
                              <w:sz w:val="24"/>
                              <w:szCs w:val="24"/>
                              <w:lang w:val="zh-CN" w:eastAsia="zh-CN" w:bidi="ar-SA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宋体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theme="minorBidi"/>
                        <w:kern w:val="2"/>
                        <w:sz w:val="24"/>
                        <w:szCs w:val="24"/>
                        <w:lang w:val="zh-CN" w:eastAsia="zh-CN" w:bidi="ar-SA"/>
                      </w:rPr>
                      <w:t>5</w:t>
                    </w:r>
                    <w:r>
                      <w:rPr>
                        <w:rFonts w:ascii="Times New Roman" w:hAnsi="Times New Roman" w:eastAsia="宋体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spacing w:line="360" w:lineRule="auto"/>
      <w:jc w:val="center"/>
      <w:rPr>
        <w:rFonts w:hint="eastAsia" w:ascii="Times New Roman" w:hAnsi="Times New Roman" w:eastAsia="宋体" w:cstheme="minorBidi"/>
        <w:kern w:val="2"/>
        <w:sz w:val="21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2703"/>
    <w:multiLevelType w:val="multilevel"/>
    <w:tmpl w:val="2AF12703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"/>
      <w:lvlJc w:val="left"/>
      <w:pPr>
        <w:ind w:left="1320" w:hanging="440"/>
      </w:pPr>
      <w:rPr>
        <w:rFonts w:hint="default" w:ascii="Wingdings" w:hAnsi="Wingdings"/>
        <w:b w:val="0"/>
        <w:bCs w:val="0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6C47"/>
    <w:rsid w:val="040E4592"/>
    <w:rsid w:val="05D9772E"/>
    <w:rsid w:val="0ED644C4"/>
    <w:rsid w:val="1812068F"/>
    <w:rsid w:val="1C2C7853"/>
    <w:rsid w:val="1D020F27"/>
    <w:rsid w:val="1DCE41DD"/>
    <w:rsid w:val="1FB41B07"/>
    <w:rsid w:val="24E84399"/>
    <w:rsid w:val="29F5B021"/>
    <w:rsid w:val="2A396C47"/>
    <w:rsid w:val="2BBFF071"/>
    <w:rsid w:val="2BEDC2B7"/>
    <w:rsid w:val="2F6F5CEC"/>
    <w:rsid w:val="2FECA932"/>
    <w:rsid w:val="2FF71554"/>
    <w:rsid w:val="337C2B8E"/>
    <w:rsid w:val="3A743806"/>
    <w:rsid w:val="3BF6C37E"/>
    <w:rsid w:val="3BFD9B40"/>
    <w:rsid w:val="3E9D8673"/>
    <w:rsid w:val="3EDFBB8D"/>
    <w:rsid w:val="3FFF4FCC"/>
    <w:rsid w:val="41572CE3"/>
    <w:rsid w:val="47BBE791"/>
    <w:rsid w:val="48EAB22D"/>
    <w:rsid w:val="4AE7ECCE"/>
    <w:rsid w:val="4F7FE30D"/>
    <w:rsid w:val="4FF33A5D"/>
    <w:rsid w:val="510B6F9A"/>
    <w:rsid w:val="52C733FE"/>
    <w:rsid w:val="52DF6544"/>
    <w:rsid w:val="53FF1A59"/>
    <w:rsid w:val="57F8FFCF"/>
    <w:rsid w:val="59FD5858"/>
    <w:rsid w:val="5D57EE28"/>
    <w:rsid w:val="5D7E9866"/>
    <w:rsid w:val="5D87101C"/>
    <w:rsid w:val="5DA70AF0"/>
    <w:rsid w:val="5ED758FE"/>
    <w:rsid w:val="5EEF6D5A"/>
    <w:rsid w:val="5F6B9261"/>
    <w:rsid w:val="5F7FB089"/>
    <w:rsid w:val="5F9DDEB1"/>
    <w:rsid w:val="5FDD7D3F"/>
    <w:rsid w:val="5FE6E9C3"/>
    <w:rsid w:val="5FFBB001"/>
    <w:rsid w:val="655575E6"/>
    <w:rsid w:val="67771A4A"/>
    <w:rsid w:val="68A82559"/>
    <w:rsid w:val="6BBD8BC3"/>
    <w:rsid w:val="6D4F39BA"/>
    <w:rsid w:val="6DF76BB3"/>
    <w:rsid w:val="6E7399EC"/>
    <w:rsid w:val="6F7D3931"/>
    <w:rsid w:val="6FBB21CC"/>
    <w:rsid w:val="6FE408B1"/>
    <w:rsid w:val="6FEF75DC"/>
    <w:rsid w:val="6FF9631D"/>
    <w:rsid w:val="6FFFE6AD"/>
    <w:rsid w:val="70FF5B08"/>
    <w:rsid w:val="73FF7FCC"/>
    <w:rsid w:val="74EDB831"/>
    <w:rsid w:val="74F7BBAB"/>
    <w:rsid w:val="75DDBAA3"/>
    <w:rsid w:val="76EDBDEF"/>
    <w:rsid w:val="76FF0400"/>
    <w:rsid w:val="773E65FB"/>
    <w:rsid w:val="779944FA"/>
    <w:rsid w:val="77C7E249"/>
    <w:rsid w:val="799139C7"/>
    <w:rsid w:val="7ABB2791"/>
    <w:rsid w:val="7B3B4CB4"/>
    <w:rsid w:val="7B9931FD"/>
    <w:rsid w:val="7BDF172D"/>
    <w:rsid w:val="7BEFA284"/>
    <w:rsid w:val="7C551E7C"/>
    <w:rsid w:val="7D7B42EB"/>
    <w:rsid w:val="7D9E59DD"/>
    <w:rsid w:val="7DCFCFA0"/>
    <w:rsid w:val="7E5D78BA"/>
    <w:rsid w:val="7E9ED223"/>
    <w:rsid w:val="7EEACC76"/>
    <w:rsid w:val="7F5F648E"/>
    <w:rsid w:val="7F73B332"/>
    <w:rsid w:val="7F76A7E2"/>
    <w:rsid w:val="7F984B67"/>
    <w:rsid w:val="7FAD9D70"/>
    <w:rsid w:val="7FB33248"/>
    <w:rsid w:val="7FB3BFD7"/>
    <w:rsid w:val="7FBB6827"/>
    <w:rsid w:val="7FBBF6EF"/>
    <w:rsid w:val="7FCC69E8"/>
    <w:rsid w:val="7FDF2614"/>
    <w:rsid w:val="7FDF9F36"/>
    <w:rsid w:val="7FDFFAD7"/>
    <w:rsid w:val="7FF3D326"/>
    <w:rsid w:val="7FF54A66"/>
    <w:rsid w:val="7FF575CE"/>
    <w:rsid w:val="7FF6CA47"/>
    <w:rsid w:val="7FFB0BB2"/>
    <w:rsid w:val="7FFCC2D6"/>
    <w:rsid w:val="7FFE500E"/>
    <w:rsid w:val="877F8815"/>
    <w:rsid w:val="8DEFF636"/>
    <w:rsid w:val="997B08B2"/>
    <w:rsid w:val="9BFF6016"/>
    <w:rsid w:val="9CFF809D"/>
    <w:rsid w:val="9EB9DD52"/>
    <w:rsid w:val="9FECA5E9"/>
    <w:rsid w:val="9FFB6D35"/>
    <w:rsid w:val="ADDF7A57"/>
    <w:rsid w:val="B7335DAF"/>
    <w:rsid w:val="B7DD1E4E"/>
    <w:rsid w:val="B7DF4B03"/>
    <w:rsid w:val="B7EBF1D0"/>
    <w:rsid w:val="BBEF6EC2"/>
    <w:rsid w:val="BDF39737"/>
    <w:rsid w:val="BF8F9BDA"/>
    <w:rsid w:val="BFE9A734"/>
    <w:rsid w:val="CBDFB160"/>
    <w:rsid w:val="CEBCA64F"/>
    <w:rsid w:val="CFED8D71"/>
    <w:rsid w:val="D63C811B"/>
    <w:rsid w:val="D6985523"/>
    <w:rsid w:val="D76A76E3"/>
    <w:rsid w:val="D77DA518"/>
    <w:rsid w:val="D9F7CB89"/>
    <w:rsid w:val="DB2BBA6D"/>
    <w:rsid w:val="DBFE51BF"/>
    <w:rsid w:val="DDEE52D8"/>
    <w:rsid w:val="DDEEF311"/>
    <w:rsid w:val="DDEF4BCA"/>
    <w:rsid w:val="DDFFCD0E"/>
    <w:rsid w:val="DEFDEE73"/>
    <w:rsid w:val="DF4FACA7"/>
    <w:rsid w:val="DF6611B6"/>
    <w:rsid w:val="DF8D1B24"/>
    <w:rsid w:val="DFE8E460"/>
    <w:rsid w:val="DFEBF712"/>
    <w:rsid w:val="E33E888D"/>
    <w:rsid w:val="EBECBC65"/>
    <w:rsid w:val="EBFD01EE"/>
    <w:rsid w:val="EE367F20"/>
    <w:rsid w:val="F3FE6F81"/>
    <w:rsid w:val="F45FD5A3"/>
    <w:rsid w:val="F4DDA440"/>
    <w:rsid w:val="F52B9B7E"/>
    <w:rsid w:val="F5EA512E"/>
    <w:rsid w:val="F9774A13"/>
    <w:rsid w:val="F9FF3ED2"/>
    <w:rsid w:val="FB3ADB48"/>
    <w:rsid w:val="FB3E1F24"/>
    <w:rsid w:val="FB534F7C"/>
    <w:rsid w:val="FB6F92FF"/>
    <w:rsid w:val="FB7F4EAE"/>
    <w:rsid w:val="FB7FD9EE"/>
    <w:rsid w:val="FB9D2C80"/>
    <w:rsid w:val="FBBFA646"/>
    <w:rsid w:val="FBFF1C95"/>
    <w:rsid w:val="FC9DBCB5"/>
    <w:rsid w:val="FD7B2C77"/>
    <w:rsid w:val="FDE98C13"/>
    <w:rsid w:val="FDFB9FBA"/>
    <w:rsid w:val="FEDEF0C7"/>
    <w:rsid w:val="FEEF068D"/>
    <w:rsid w:val="FEF66B23"/>
    <w:rsid w:val="FF3F24EC"/>
    <w:rsid w:val="FFB38AED"/>
    <w:rsid w:val="FFDF1F74"/>
    <w:rsid w:val="FFEF8012"/>
    <w:rsid w:val="FFF5A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spacing w:line="460" w:lineRule="exact"/>
      <w:jc w:val="center"/>
      <w:outlineLvl w:val="0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4">
    <w:name w:val="heading 2"/>
    <w:next w:val="1"/>
    <w:qFormat/>
    <w:uiPriority w:val="1"/>
    <w:pPr>
      <w:keepNext/>
      <w:keepLines/>
      <w:widowControl w:val="0"/>
      <w:numPr>
        <w:ilvl w:val="1"/>
        <w:numId w:val="1"/>
      </w:numPr>
      <w:spacing w:line="360" w:lineRule="auto"/>
      <w:jc w:val="both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next w:val="1"/>
    <w:qFormat/>
    <w:uiPriority w:val="1"/>
    <w:pPr>
      <w:keepNext/>
      <w:keepLines/>
      <w:widowControl w:val="0"/>
      <w:numPr>
        <w:ilvl w:val="2"/>
        <w:numId w:val="1"/>
      </w:numPr>
      <w:spacing w:line="360" w:lineRule="auto"/>
      <w:jc w:val="both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15" w:lineRule="atLeast"/>
      <w:jc w:val="left"/>
      <w:textAlignment w:val="baseline"/>
    </w:pPr>
    <w:rPr>
      <w:rFonts w:hint="eastAsia"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next w:val="1"/>
    <w:qFormat/>
    <w:uiPriority w:val="39"/>
    <w:pPr>
      <w:widowControl w:val="0"/>
      <w:jc w:val="both"/>
    </w:pPr>
    <w:rPr>
      <w:rFonts w:ascii="等线" w:hAnsi="等线" w:eastAsia="等线" w:cs="Times New Roman"/>
      <w:b/>
      <w:kern w:val="2"/>
      <w:sz w:val="21"/>
      <w:szCs w:val="21"/>
      <w:lang w:val="en-US" w:eastAsia="zh-CN" w:bidi="ar-SA"/>
    </w:rPr>
  </w:style>
  <w:style w:type="paragraph" w:styleId="9">
    <w:name w:val="toc 2"/>
    <w:next w:val="1"/>
    <w:qFormat/>
    <w:uiPriority w:val="39"/>
    <w:pPr>
      <w:widowControl w:val="0"/>
      <w:ind w:left="150" w:leftChars="15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14559</Words>
  <Characters>15176</Characters>
  <Lines>0</Lines>
  <Paragraphs>0</Paragraphs>
  <TotalTime>10</TotalTime>
  <ScaleCrop>false</ScaleCrop>
  <LinksUpToDate>false</LinksUpToDate>
  <CharactersWithSpaces>15746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2025-05-17T09:09:00Z</dcterms:created>
  <dc:creator>L CX</dc:creator>
  <cp:lastModifiedBy>huawei</cp:lastModifiedBy>
  <cp:lastPrinted>2025-05-27T10:20:00Z</cp:lastPrinted>
  <dcterms:modified xsi:type="dcterms:W3CDTF">2025-06-12T12:14:57Z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7C6FA90C907944A383688E1F3BEFF8A1_13</vt:lpwstr>
  </property>
  <property fmtid="{D5CDD505-2E9C-101B-9397-08002B2CF9AE}" pid="4" name="KSOTemplateDocerSaveRecord">
    <vt:lpwstr>eyJoZGlkIjoiMzEwNTM5NzYwMDRjMzkwZTVkZjY2ODkwMGIxNGU0OTUiLCJ1c2VySWQiOiIxMDQxNjIzNDczIn0=</vt:lpwstr>
  </property>
</Properties>
</file>