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uto"/>
        <w:rPr>
          <w:rFonts w:ascii="黑体" w:hAnsi="宋体" w:eastAsia="黑体" w:cs="宋体"/>
          <w:bCs/>
          <w:color w:val="333333"/>
          <w:kern w:val="0"/>
        </w:rPr>
      </w:pPr>
      <w:r>
        <w:rPr>
          <w:rFonts w:hint="eastAsia" w:ascii="黑体" w:hAnsi="宋体" w:eastAsia="黑体" w:cs="宋体"/>
          <w:bCs/>
          <w:color w:val="333333"/>
          <w:kern w:val="0"/>
          <w:sz w:val="32"/>
          <w:szCs w:val="32"/>
        </w:rPr>
        <w:t>附件</w:t>
      </w:r>
    </w:p>
    <w:p>
      <w:pPr>
        <w:widowControl/>
        <w:rPr>
          <w:rFonts w:ascii="宋体" w:hAnsi="宋体" w:cs="宋体"/>
          <w:color w:val="333333"/>
          <w:kern w:val="0"/>
          <w:sz w:val="24"/>
        </w:rPr>
      </w:pPr>
    </w:p>
    <w:p>
      <w:pPr>
        <w:widowControl/>
        <w:spacing w:afterLines="75" w:line="432" w:lineRule="auto"/>
        <w:jc w:val="center"/>
        <w:rPr>
          <w:rFonts w:ascii="方正小标宋简体" w:hAnsi="黑体" w:eastAsia="方正小标宋简体" w:cs="宋体"/>
          <w:color w:val="333333"/>
          <w:kern w:val="0"/>
          <w:sz w:val="24"/>
        </w:rPr>
      </w:pPr>
      <w:r>
        <w:rPr>
          <w:rFonts w:hint="eastAsia" w:ascii="方正小标宋简体" w:hAnsi="黑体" w:eastAsia="方正小标宋简体" w:cs="宋体"/>
          <w:bCs/>
          <w:color w:val="333333"/>
          <w:kern w:val="0"/>
          <w:sz w:val="36"/>
          <w:szCs w:val="36"/>
        </w:rPr>
        <w:t>“十三五”末全市深化医药卫生体制改革主要目标</w:t>
      </w:r>
    </w:p>
    <w:p>
      <w:pPr>
        <w:widowControl/>
        <w:jc w:val="center"/>
        <w:rPr>
          <w:rFonts w:ascii="宋体" w:hAnsi="宋体" w:cs="宋体"/>
          <w:color w:val="333333"/>
          <w:kern w:val="0"/>
          <w:sz w:val="24"/>
        </w:rPr>
      </w:pPr>
    </w:p>
    <w:tbl>
      <w:tblPr>
        <w:tblStyle w:val="3"/>
        <w:tblW w:w="812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29"/>
        <w:gridCol w:w="73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blHeader/>
          <w:jc w:val="center"/>
        </w:trPr>
        <w:tc>
          <w:tcPr>
            <w:tcW w:w="729" w:type="dxa"/>
            <w:tcMar>
              <w:top w:w="0" w:type="dxa"/>
              <w:left w:w="108" w:type="dxa"/>
              <w:bottom w:w="0" w:type="dxa"/>
              <w:right w:w="108" w:type="dxa"/>
            </w:tcMar>
            <w:vAlign w:val="center"/>
          </w:tcPr>
          <w:p>
            <w:pPr>
              <w:widowControl/>
              <w:spacing w:line="480" w:lineRule="auto"/>
              <w:jc w:val="center"/>
              <w:rPr>
                <w:rFonts w:ascii="Times New Roman" w:hAnsi="Times New Roman"/>
                <w:color w:val="333333"/>
                <w:kern w:val="0"/>
                <w:sz w:val="24"/>
              </w:rPr>
            </w:pPr>
            <w:r>
              <w:rPr>
                <w:rFonts w:hint="eastAsia" w:ascii="宋体" w:hAnsi="宋体"/>
                <w:b/>
                <w:bCs/>
                <w:color w:val="333333"/>
                <w:kern w:val="0"/>
                <w:sz w:val="24"/>
              </w:rPr>
              <w:t>序号</w:t>
            </w:r>
          </w:p>
        </w:tc>
        <w:tc>
          <w:tcPr>
            <w:tcW w:w="7399" w:type="dxa"/>
            <w:tcMar>
              <w:top w:w="0" w:type="dxa"/>
              <w:left w:w="108" w:type="dxa"/>
              <w:bottom w:w="0" w:type="dxa"/>
              <w:right w:w="108" w:type="dxa"/>
            </w:tcMar>
          </w:tcPr>
          <w:p>
            <w:pPr>
              <w:widowControl/>
              <w:spacing w:line="480" w:lineRule="auto"/>
              <w:jc w:val="center"/>
              <w:rPr>
                <w:rFonts w:ascii="Times New Roman" w:hAnsi="Times New Roman"/>
                <w:color w:val="333333"/>
                <w:kern w:val="0"/>
                <w:sz w:val="24"/>
              </w:rPr>
            </w:pPr>
            <w:r>
              <w:rPr>
                <w:rFonts w:hint="eastAsia" w:ascii="宋体" w:hAnsi="宋体"/>
                <w:b/>
                <w:bCs/>
                <w:color w:val="333333"/>
                <w:kern w:val="0"/>
                <w:sz w:val="24"/>
              </w:rPr>
              <w:t>指  标  内  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22" w:hRule="atLeast"/>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全市居民人均预期寿命比2015年提高1岁，孕产妇死亡率、婴儿死亡率、5岁以下儿童死亡率分别控制在10/10万、5.5‰、7‰左右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2</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个人卫生支出占卫生总费用的比重下降到28%左右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916" w:hRule="atLeast"/>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3</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医疗服务体系布局合理、规模适当、层级优化、职责明晰、功能完善、富有效率，各级各类医疗卫生机构诊疗服务能力全面提升，各种各类保障机制和配套措施逐步健全，基层首诊、双向转诊、急慢分治、上下联动的就医新秩序初步形成。基层医疗卫生机构诊疗量占全市医疗机构门诊量比重较“十二五末”合理增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4</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力争所有社区卫生服务机构和乡镇卫生院以及80%的村卫生室具备中医药服务能力，同时具备相应的医疗康复能力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5</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力争将签约服务扩大到全人群，基本实现家庭医生签约服务制度全覆盖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6</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公立医院综合改革实现全市全覆盖，基本建立具有中国特色的权责清晰、管理科学、治理完善、运行高效、监督有力的现代医院管理制度及配套机制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7</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全市公立医院医疗费用增长幅度稳定在相对合理水平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8</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基本医保参保率稳定在95%以上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9</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建立医保基金调剂平衡机制，基本医保政策范围内报销比例稳定在75%左右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138" w:hRule="atLeast"/>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10</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医保支付方式改革逐步覆盖所有医疗机构和医疗服务，全市范围内普遍实施适应不同疾病、不同服务特点的多元复合式医保支付方式，按项目付费占比明显下降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11</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基本建立药品出厂价格信息可追溯机制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12</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市内药品流通市场日趋规范集中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1" w:hRule="atLeast"/>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13</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对各级各类医疗卫生机构监督检查实现100%覆盖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16" w:hRule="atLeast"/>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14</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确保所有新进医疗岗位的本科及以上学历临床医师均接受住院医师规范化培训，初步建立专科医师规范化培训制度，重点为贫困县医院培养一批专科医师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15</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初步建立起符合市情的全科医生制度，基本形成统一规范的全科医生培养模式，力争我市城乡每万名居民有2-3名合格的全科医生，每千人口注册护士数达到全省平均水平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16</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医疗责任保险覆盖全市所有公立医院和80%以上的基层医疗卫生机构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17</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基本公共卫生服务逐步均等化的机制基本完善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18</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全面落实政府对符合区域卫生规划的公立医院投入政策，建立公立医院由服务收费和政府补助两个渠道补偿的新机制，细化落实政府对中医医院投入倾斜政策，逐步偿还和化解符合条件的公立医院长期债务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538" w:hRule="atLeast"/>
          <w:jc w:val="center"/>
        </w:trPr>
        <w:tc>
          <w:tcPr>
            <w:tcW w:w="729" w:type="dxa"/>
            <w:tcMar>
              <w:top w:w="0" w:type="dxa"/>
              <w:left w:w="108" w:type="dxa"/>
              <w:bottom w:w="0" w:type="dxa"/>
              <w:right w:w="108" w:type="dxa"/>
            </w:tcMar>
            <w:vAlign w:val="center"/>
          </w:tcPr>
          <w:p>
            <w:pPr>
              <w:widowControl/>
              <w:spacing w:line="480" w:lineRule="auto"/>
              <w:jc w:val="center"/>
              <w:rPr>
                <w:rFonts w:ascii="仿宋_GB2312" w:hAnsi="仿宋" w:eastAsia="仿宋_GB2312"/>
                <w:color w:val="333333"/>
                <w:kern w:val="0"/>
                <w:sz w:val="24"/>
              </w:rPr>
            </w:pPr>
            <w:r>
              <w:rPr>
                <w:rFonts w:hint="eastAsia" w:ascii="仿宋_GB2312" w:hAnsi="仿宋" w:eastAsia="仿宋_GB2312"/>
                <w:color w:val="333333"/>
                <w:kern w:val="0"/>
                <w:sz w:val="24"/>
              </w:rPr>
              <w:t>19</w:t>
            </w:r>
          </w:p>
        </w:tc>
        <w:tc>
          <w:tcPr>
            <w:tcW w:w="7399" w:type="dxa"/>
            <w:tcMar>
              <w:top w:w="0" w:type="dxa"/>
              <w:left w:w="108" w:type="dxa"/>
              <w:bottom w:w="0" w:type="dxa"/>
              <w:right w:w="108" w:type="dxa"/>
            </w:tcMar>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全市组建有1-2个以三级医院为龙头的紧密型医疗联合体，全市范围内县乡医疗卫生机构一体化的管理和运行机制更加顺畅高效</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E66AF"/>
    <w:rsid w:val="7A3E66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2017-09-18T03:00:00Z</dcterms:created>
  <dc:creator>lenovo</dc:creator>
  <cp:lastModifiedBy>lenovo</cp:lastModifiedBy>
  <dcterms:modified xsi:type="dcterms:W3CDTF">2017-09-18T03:00:46Z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